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9C3" w:rsidRPr="00F47341" w:rsidRDefault="002E29C3" w:rsidP="002E29C3">
      <w:pPr>
        <w:shd w:val="clear" w:color="auto" w:fill="FFFFFF"/>
        <w:spacing w:before="120" w:after="120" w:line="240" w:lineRule="auto"/>
        <w:jc w:val="both"/>
        <w:textAlignment w:val="baseline"/>
        <w:rPr>
          <w:rFonts w:ascii="AdvPS5962" w:hAnsi="AdvPS5962" w:cs="Sabon Next LT"/>
          <w:b/>
          <w:sz w:val="26"/>
          <w:szCs w:val="20"/>
        </w:rPr>
      </w:pPr>
      <w:bookmarkStart w:id="0" w:name="_Hlk180085955"/>
      <w:r w:rsidRPr="00F47341">
        <w:rPr>
          <w:rFonts w:ascii="AdvPS5962" w:hAnsi="AdvPS5962" w:cs="Sabon Next LT"/>
          <w:b/>
          <w:sz w:val="26"/>
          <w:szCs w:val="20"/>
        </w:rPr>
        <w:t xml:space="preserve">Comparison of dietary diversity scores and associated factors among children in households with and without home gardens, </w:t>
      </w:r>
      <w:proofErr w:type="spellStart"/>
      <w:r w:rsidRPr="00F47341">
        <w:rPr>
          <w:rFonts w:ascii="AdvPS5962" w:hAnsi="AdvPS5962" w:cs="Sabon Next LT"/>
          <w:b/>
          <w:sz w:val="26"/>
          <w:szCs w:val="20"/>
        </w:rPr>
        <w:t>Ginir</w:t>
      </w:r>
      <w:proofErr w:type="spellEnd"/>
      <w:r w:rsidRPr="00F47341">
        <w:rPr>
          <w:rFonts w:ascii="AdvPS5962" w:hAnsi="AdvPS5962" w:cs="Sabon Next LT"/>
          <w:b/>
          <w:sz w:val="26"/>
          <w:szCs w:val="20"/>
        </w:rPr>
        <w:t xml:space="preserve"> District, Oromia Region, Ethiopia </w:t>
      </w:r>
    </w:p>
    <w:p w:rsidR="002E29C3" w:rsidRPr="00F64ADE" w:rsidRDefault="002E29C3" w:rsidP="002E29C3">
      <w:pPr>
        <w:shd w:val="clear" w:color="auto" w:fill="FFFFFF"/>
        <w:spacing w:before="120" w:after="120" w:line="240" w:lineRule="auto"/>
        <w:jc w:val="both"/>
        <w:textAlignment w:val="baseline"/>
        <w:rPr>
          <w:rFonts w:ascii="AdvPS5962" w:hAnsi="AdvPS5962" w:cs="Sabon Next LT"/>
          <w:szCs w:val="20"/>
        </w:rPr>
      </w:pPr>
      <w:proofErr w:type="spellStart"/>
      <w:r w:rsidRPr="00F64ADE">
        <w:rPr>
          <w:rFonts w:ascii="AdvPS5962" w:hAnsi="AdvPS5962" w:cs="Sabon Next LT"/>
          <w:szCs w:val="20"/>
        </w:rPr>
        <w:t>Yirgalem</w:t>
      </w:r>
      <w:proofErr w:type="spellEnd"/>
      <w:r w:rsidRPr="00F64ADE">
        <w:rPr>
          <w:rFonts w:ascii="AdvPS5962" w:hAnsi="AdvPS5962" w:cs="Sabon Next LT"/>
          <w:szCs w:val="20"/>
        </w:rPr>
        <w:t xml:space="preserve"> Zeleke</w:t>
      </w:r>
      <w:r w:rsidRPr="00F64ADE">
        <w:rPr>
          <w:rFonts w:ascii="AdvPS5962" w:hAnsi="AdvPS5962" w:cs="Sabon Next LT"/>
          <w:szCs w:val="20"/>
          <w:vertAlign w:val="superscript"/>
        </w:rPr>
        <w:t>1,2</w:t>
      </w:r>
      <w:r w:rsidRPr="00F64ADE">
        <w:rPr>
          <w:rFonts w:ascii="AdvPS5962" w:hAnsi="AdvPS5962" w:cs="Sabon Next LT"/>
          <w:szCs w:val="20"/>
        </w:rPr>
        <w:t xml:space="preserve">, </w:t>
      </w:r>
      <w:proofErr w:type="spellStart"/>
      <w:r w:rsidRPr="00F64ADE">
        <w:rPr>
          <w:rFonts w:ascii="AdvPS5962" w:hAnsi="AdvPS5962" w:cs="Sabon Next LT"/>
          <w:szCs w:val="20"/>
        </w:rPr>
        <w:t>Tamiru</w:t>
      </w:r>
      <w:proofErr w:type="spellEnd"/>
      <w:r w:rsidRPr="00F64ADE">
        <w:rPr>
          <w:rFonts w:ascii="AdvPS5962" w:hAnsi="AdvPS5962" w:cs="Sabon Next LT"/>
          <w:szCs w:val="20"/>
        </w:rPr>
        <w:t xml:space="preserve"> Yazew</w:t>
      </w:r>
      <w:r w:rsidRPr="00F64ADE">
        <w:rPr>
          <w:rFonts w:ascii="AdvPS5962" w:hAnsi="AdvPS5962" w:cs="Sabon Next LT"/>
          <w:szCs w:val="20"/>
          <w:vertAlign w:val="superscript"/>
        </w:rPr>
        <w:t>1</w:t>
      </w:r>
      <w:r w:rsidRPr="00F64ADE">
        <w:rPr>
          <w:rFonts w:ascii="AdvPS5962" w:hAnsi="AdvPS5962" w:cs="Sabon Next LT"/>
          <w:szCs w:val="20"/>
        </w:rPr>
        <w:t xml:space="preserve">*, </w:t>
      </w:r>
      <w:proofErr w:type="spellStart"/>
      <w:r w:rsidRPr="00F64ADE">
        <w:rPr>
          <w:rFonts w:ascii="AdvPS5962" w:hAnsi="AdvPS5962" w:cs="Sabon Next LT"/>
          <w:szCs w:val="20"/>
        </w:rPr>
        <w:t>Rebik</w:t>
      </w:r>
      <w:proofErr w:type="spellEnd"/>
      <w:r w:rsidRPr="00F64ADE">
        <w:rPr>
          <w:rFonts w:ascii="AdvPS5962" w:hAnsi="AdvPS5962" w:cs="Sabon Next LT"/>
          <w:szCs w:val="20"/>
        </w:rPr>
        <w:t xml:space="preserve"> Shukure</w:t>
      </w:r>
      <w:r w:rsidRPr="00F64ADE">
        <w:rPr>
          <w:rFonts w:ascii="AdvPS5962" w:hAnsi="AdvPS5962" w:cs="Sabon Next LT"/>
          <w:szCs w:val="20"/>
          <w:vertAlign w:val="superscript"/>
        </w:rPr>
        <w:t>1</w:t>
      </w:r>
    </w:p>
    <w:p w:rsidR="002E29C3" w:rsidRPr="00F64ADE" w:rsidRDefault="002E29C3" w:rsidP="002E29C3">
      <w:pPr>
        <w:shd w:val="clear" w:color="auto" w:fill="FFFFFF"/>
        <w:spacing w:before="120" w:after="120" w:line="240" w:lineRule="auto"/>
        <w:jc w:val="both"/>
        <w:textAlignment w:val="baseline"/>
        <w:rPr>
          <w:rFonts w:ascii="AdvPS5962" w:hAnsi="AdvPS5962" w:cs="Sabon Next LT"/>
          <w:szCs w:val="20"/>
        </w:rPr>
      </w:pPr>
      <w:r w:rsidRPr="00F64ADE">
        <w:rPr>
          <w:rFonts w:ascii="AdvPS5962" w:hAnsi="AdvPS5962" w:cs="Sabon Next LT"/>
          <w:szCs w:val="20"/>
          <w:vertAlign w:val="superscript"/>
        </w:rPr>
        <w:t>1</w:t>
      </w:r>
      <w:r w:rsidRPr="00F64ADE">
        <w:rPr>
          <w:rFonts w:ascii="AdvPS5962" w:hAnsi="AdvPS5962" w:cs="Sabon Next LT"/>
          <w:szCs w:val="20"/>
        </w:rPr>
        <w:t xml:space="preserve">Department of Public Health, College of Health Sciences, </w:t>
      </w:r>
      <w:proofErr w:type="spellStart"/>
      <w:r w:rsidRPr="00F64ADE">
        <w:rPr>
          <w:rFonts w:ascii="AdvPS5962" w:hAnsi="AdvPS5962" w:cs="Sabon Next LT"/>
          <w:szCs w:val="20"/>
        </w:rPr>
        <w:t>Salale</w:t>
      </w:r>
      <w:proofErr w:type="spellEnd"/>
      <w:r w:rsidRPr="00F64ADE">
        <w:rPr>
          <w:rFonts w:ascii="AdvPS5962" w:hAnsi="AdvPS5962" w:cs="Sabon Next LT"/>
          <w:szCs w:val="20"/>
        </w:rPr>
        <w:t xml:space="preserve"> University, </w:t>
      </w:r>
      <w:proofErr w:type="spellStart"/>
      <w:r w:rsidRPr="00F64ADE">
        <w:rPr>
          <w:rFonts w:ascii="AdvPS5962" w:hAnsi="AdvPS5962" w:cs="Sabon Next LT"/>
          <w:szCs w:val="20"/>
        </w:rPr>
        <w:t>Fitche</w:t>
      </w:r>
      <w:proofErr w:type="spellEnd"/>
      <w:r w:rsidRPr="00F64ADE">
        <w:rPr>
          <w:rFonts w:ascii="AdvPS5962" w:hAnsi="AdvPS5962" w:cs="Sabon Next LT"/>
          <w:szCs w:val="20"/>
        </w:rPr>
        <w:t xml:space="preserve">, Ethiopia </w:t>
      </w:r>
    </w:p>
    <w:p w:rsidR="00C54B33" w:rsidRPr="00F64ADE" w:rsidRDefault="002E29C3" w:rsidP="002E29C3">
      <w:pPr>
        <w:shd w:val="clear" w:color="auto" w:fill="FFFFFF"/>
        <w:spacing w:before="120" w:after="120" w:line="240" w:lineRule="auto"/>
        <w:jc w:val="both"/>
        <w:textAlignment w:val="baseline"/>
        <w:rPr>
          <w:rFonts w:ascii="AdvPS5962" w:eastAsia="Times New Roman" w:hAnsi="AdvPS5962" w:cs="Sabon Next LT"/>
          <w:sz w:val="16"/>
        </w:rPr>
      </w:pPr>
      <w:r w:rsidRPr="00F64ADE">
        <w:rPr>
          <w:rFonts w:ascii="AdvPS5962" w:hAnsi="AdvPS5962" w:cs="Sabon Next LT"/>
          <w:szCs w:val="20"/>
          <w:vertAlign w:val="superscript"/>
        </w:rPr>
        <w:t>2</w:t>
      </w:r>
      <w:r w:rsidRPr="00F64ADE">
        <w:rPr>
          <w:rFonts w:ascii="AdvPS5962" w:hAnsi="AdvPS5962" w:cs="Sabon Next LT"/>
          <w:szCs w:val="20"/>
        </w:rPr>
        <w:t>Oromia Health Bureau, Oromia, Ethiopia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052D5" w:rsidRPr="00F64ADE" w:rsidTr="00B052D5">
        <w:tc>
          <w:tcPr>
            <w:tcW w:w="9576" w:type="dxa"/>
            <w:tcBorders>
              <w:top w:val="single" w:sz="4" w:space="0" w:color="C9079F"/>
              <w:bottom w:val="single" w:sz="4" w:space="0" w:color="C9079F"/>
            </w:tcBorders>
          </w:tcPr>
          <w:p w:rsidR="00A711F2" w:rsidRPr="00F64ADE" w:rsidRDefault="00A711F2" w:rsidP="00A711F2">
            <w:pPr>
              <w:spacing w:line="240" w:lineRule="auto"/>
              <w:rPr>
                <w:rFonts w:ascii="AdvPS5962" w:eastAsia="Calibri" w:hAnsi="AdvPS5962" w:cs="Sabon Next LT"/>
                <w:b/>
                <w:sz w:val="19"/>
                <w:szCs w:val="19"/>
              </w:rPr>
            </w:pPr>
            <w:r w:rsidRPr="00F64ADE">
              <w:rPr>
                <w:rFonts w:ascii="AdvPS5962" w:eastAsia="Calibri" w:hAnsi="AdvPS5962" w:cs="Sabon Next LT"/>
                <w:b/>
                <w:sz w:val="19"/>
                <w:szCs w:val="19"/>
              </w:rPr>
              <w:t xml:space="preserve">ABSTRACT </w:t>
            </w:r>
          </w:p>
          <w:p w:rsidR="002E29C3" w:rsidRPr="00F64ADE" w:rsidRDefault="002E29C3" w:rsidP="002E29C3">
            <w:pPr>
              <w:spacing w:line="240" w:lineRule="auto"/>
              <w:jc w:val="both"/>
              <w:rPr>
                <w:rFonts w:ascii="AdvPS5962" w:eastAsia="Calibri" w:hAnsi="AdvPS5962" w:cs="Sabon Next LT"/>
                <w:sz w:val="22"/>
                <w:szCs w:val="22"/>
              </w:rPr>
            </w:pPr>
            <w:r w:rsidRPr="00F64ADE">
              <w:rPr>
                <w:rFonts w:ascii="AdvPS5962" w:eastAsia="Calibri" w:hAnsi="AdvPS5962" w:cs="Sabon Next LT"/>
                <w:b/>
                <w:sz w:val="22"/>
                <w:szCs w:val="22"/>
              </w:rPr>
              <w:t>Background:</w:t>
            </w:r>
            <w:r w:rsidRPr="00F64ADE">
              <w:rPr>
                <w:rFonts w:ascii="AdvPS5962" w:eastAsia="Calibri" w:hAnsi="AdvPS5962" w:cs="Sabon Next LT"/>
                <w:sz w:val="22"/>
                <w:szCs w:val="22"/>
              </w:rPr>
              <w:t xml:space="preserve"> Poor dietary practices are among the major public health problems in developing countries. However, little information exists regarding dietary diversity scores and their contributing factors among children living in the study area. Therefore, this study aimed to assess and compare the dietary diversity scores and associated factors among children in households with and without home gardens of the </w:t>
            </w:r>
            <w:proofErr w:type="spellStart"/>
            <w:r w:rsidRPr="00F64ADE">
              <w:rPr>
                <w:rFonts w:ascii="AdvPS5962" w:eastAsia="Calibri" w:hAnsi="AdvPS5962" w:cs="Sabon Next LT"/>
                <w:sz w:val="22"/>
                <w:szCs w:val="22"/>
              </w:rPr>
              <w:t>Ginir</w:t>
            </w:r>
            <w:proofErr w:type="spellEnd"/>
            <w:r w:rsidRPr="00F64ADE">
              <w:rPr>
                <w:rFonts w:ascii="AdvPS5962" w:eastAsia="Calibri" w:hAnsi="AdvPS5962" w:cs="Sabon Next LT"/>
                <w:sz w:val="22"/>
                <w:szCs w:val="22"/>
              </w:rPr>
              <w:t xml:space="preserve"> District, Oromia Region, Ethiopia.</w:t>
            </w:r>
          </w:p>
          <w:p w:rsidR="002E29C3" w:rsidRPr="00F64ADE" w:rsidRDefault="002E29C3" w:rsidP="002E29C3">
            <w:pPr>
              <w:spacing w:line="240" w:lineRule="auto"/>
              <w:jc w:val="both"/>
              <w:rPr>
                <w:rFonts w:ascii="AdvPS5962" w:eastAsia="Calibri" w:hAnsi="AdvPS5962" w:cs="Sabon Next LT"/>
                <w:sz w:val="22"/>
                <w:szCs w:val="22"/>
              </w:rPr>
            </w:pPr>
            <w:r w:rsidRPr="00F64ADE">
              <w:rPr>
                <w:rFonts w:ascii="AdvPS5962" w:eastAsia="Calibri" w:hAnsi="AdvPS5962" w:cs="Sabon Next LT"/>
                <w:b/>
                <w:sz w:val="22"/>
                <w:szCs w:val="22"/>
              </w:rPr>
              <w:t>Methods:</w:t>
            </w:r>
            <w:r w:rsidRPr="00F64ADE">
              <w:rPr>
                <w:rFonts w:ascii="AdvPS5962" w:eastAsia="Calibri" w:hAnsi="AdvPS5962" w:cs="Sabon Next LT"/>
                <w:sz w:val="22"/>
                <w:szCs w:val="22"/>
              </w:rPr>
              <w:t xml:space="preserve"> A community-based comparative cross-sectional study was conducted among 746 children living in households with and without home gardens from April 30, 2024, to June 15, 2024. A multistage sampling method was used to select the study participants. A structured questionnaire was used to collect the data. A sequential multiple logistic regression model was used to see the factors associated with the outcome variable. The results were presented using 95% CI and adjusted odds ratio (AOR). A p-value less than 0.05 was considered statistically significant.</w:t>
            </w:r>
          </w:p>
          <w:p w:rsidR="002E29C3" w:rsidRPr="00F64ADE" w:rsidRDefault="002E29C3" w:rsidP="002E29C3">
            <w:pPr>
              <w:spacing w:line="240" w:lineRule="auto"/>
              <w:jc w:val="both"/>
              <w:rPr>
                <w:rFonts w:ascii="AdvPS5962" w:eastAsia="Calibri" w:hAnsi="AdvPS5962" w:cs="Sabon Next LT"/>
                <w:sz w:val="22"/>
                <w:szCs w:val="22"/>
              </w:rPr>
            </w:pPr>
            <w:r w:rsidRPr="00F64ADE">
              <w:rPr>
                <w:rFonts w:ascii="AdvPS5962" w:eastAsia="Calibri" w:hAnsi="AdvPS5962" w:cs="Sabon Next LT"/>
                <w:b/>
                <w:sz w:val="22"/>
                <w:szCs w:val="22"/>
              </w:rPr>
              <w:t>Results:</w:t>
            </w:r>
            <w:r w:rsidRPr="00F64ADE">
              <w:rPr>
                <w:rFonts w:ascii="AdvPS5962" w:eastAsia="Calibri" w:hAnsi="AdvPS5962" w:cs="Sabon Next LT"/>
                <w:sz w:val="22"/>
                <w:szCs w:val="22"/>
              </w:rPr>
              <w:t xml:space="preserve"> The prevalence of good dietary diversity scores of children in households with home garden was 30.5% and children </w:t>
            </w:r>
            <w:r w:rsidR="00F8439E" w:rsidRPr="000F4295">
              <w:rPr>
                <w:rFonts w:ascii="AdvPS5962" w:eastAsia="Calibri" w:hAnsi="AdvPS5962" w:cs="Sabon Next LT"/>
                <w:color w:val="000000" w:themeColor="text1"/>
                <w:sz w:val="22"/>
                <w:szCs w:val="22"/>
              </w:rPr>
              <w:t>without</w:t>
            </w:r>
            <w:r w:rsidR="00F8439E" w:rsidRPr="0053734E">
              <w:rPr>
                <w:rFonts w:ascii="AdvPS5962" w:eastAsia="Calibri" w:hAnsi="AdvPS5962" w:cs="Sabon Next LT"/>
                <w:color w:val="000000" w:themeColor="text1"/>
                <w:sz w:val="22"/>
                <w:szCs w:val="22"/>
              </w:rPr>
              <w:t xml:space="preserve"> </w:t>
            </w:r>
            <w:r w:rsidRPr="00F64ADE">
              <w:rPr>
                <w:rFonts w:ascii="AdvPS5962" w:eastAsia="Calibri" w:hAnsi="AdvPS5962" w:cs="Sabon Next LT"/>
                <w:sz w:val="22"/>
                <w:szCs w:val="22"/>
              </w:rPr>
              <w:t>home gardens 19.1%. Married mothers (AOR = 2.2, 95% CI: 1.1–4.7), college and above educational level (AOR = 2.4, 95% CI: 1.2–4.9), having home garden practices (AOR = 1.5, 95% CI: 1.1–2.2), male child (AOR = 1.6, 95% CI: 1.1–2.2), younger child aged 6-23 months (AOR = 2.1, 95% CI: 1.4–3.2), good mothers nutritional knowledge (AOR = 1.6, 95% CI: 1.1–2.3), and rich wealth index (AOR = 2.3, 95% CI: 1.5–3.5) were significantly associated with good dietary diversity scores.</w:t>
            </w:r>
          </w:p>
          <w:p w:rsidR="000A636F" w:rsidRDefault="002E29C3" w:rsidP="000A636F">
            <w:pPr>
              <w:spacing w:line="240" w:lineRule="auto"/>
              <w:jc w:val="both"/>
              <w:rPr>
                <w:rFonts w:ascii="AdvPS5962" w:eastAsia="Calibri" w:hAnsi="AdvPS5962" w:cs="Sabon Next LT"/>
                <w:sz w:val="22"/>
                <w:szCs w:val="22"/>
              </w:rPr>
            </w:pPr>
            <w:r w:rsidRPr="00F64ADE">
              <w:rPr>
                <w:rFonts w:ascii="AdvPS5962" w:eastAsia="Calibri" w:hAnsi="AdvPS5962" w:cs="Sabon Next LT"/>
                <w:b/>
                <w:sz w:val="22"/>
                <w:szCs w:val="22"/>
              </w:rPr>
              <w:t>Conclusions:</w:t>
            </w:r>
            <w:r w:rsidRPr="00F64ADE">
              <w:rPr>
                <w:rFonts w:ascii="AdvPS5962" w:eastAsia="Calibri" w:hAnsi="AdvPS5962" w:cs="Sabon Next LT"/>
                <w:sz w:val="22"/>
                <w:szCs w:val="22"/>
              </w:rPr>
              <w:t xml:space="preserve"> The prevalence of good dietary diversity scores in households with home gardens is statistically higher than in households without gardens. Empowering households on home gardening practices, improving maternal knowledge, increasing their education, and promoting appropriate infant and child feeding practices are crucial interventions to improve dietary diversity scores in the study area.</w:t>
            </w:r>
          </w:p>
          <w:p w:rsidR="00B052D5" w:rsidRPr="000A636F" w:rsidRDefault="002E29C3" w:rsidP="000A636F">
            <w:pPr>
              <w:spacing w:line="240" w:lineRule="auto"/>
              <w:jc w:val="both"/>
              <w:rPr>
                <w:rFonts w:ascii="AdvPS5962" w:eastAsia="Calibri" w:hAnsi="AdvPS5962" w:cs="Sabon Next LT"/>
                <w:sz w:val="22"/>
                <w:szCs w:val="22"/>
              </w:rPr>
            </w:pPr>
            <w:r w:rsidRPr="000A636F">
              <w:rPr>
                <w:rFonts w:ascii="AdvPS5962" w:eastAsia="Calibri" w:hAnsi="AdvPS5962" w:cs="Sabon Next LT"/>
                <w:b/>
                <w:sz w:val="22"/>
                <w:szCs w:val="22"/>
              </w:rPr>
              <w:t>Keywords:</w:t>
            </w:r>
            <w:r w:rsidRPr="00F64ADE">
              <w:rPr>
                <w:rFonts w:ascii="AdvPS5962" w:eastAsia="Calibri" w:hAnsi="AdvPS5962" w:cs="Sabon Next LT"/>
                <w:sz w:val="22"/>
                <w:szCs w:val="22"/>
              </w:rPr>
              <w:t xml:space="preserve"> Children, Dietary diversity scores, Nutrition, Food science</w:t>
            </w:r>
            <w:bookmarkStart w:id="1" w:name="_GoBack"/>
            <w:bookmarkEnd w:id="1"/>
          </w:p>
        </w:tc>
      </w:tr>
    </w:tbl>
    <w:p w:rsidR="00B052D5" w:rsidRPr="00F64ADE" w:rsidRDefault="00B052D5" w:rsidP="003F31D2">
      <w:pPr>
        <w:shd w:val="clear" w:color="auto" w:fill="FFFFFF"/>
        <w:spacing w:before="120" w:after="120" w:line="240" w:lineRule="auto"/>
        <w:jc w:val="both"/>
        <w:textAlignment w:val="baseline"/>
        <w:rPr>
          <w:rFonts w:ascii="AdvPS5962" w:eastAsia="Calibri" w:hAnsi="AdvPS5962" w:cs="Sabon Next LT"/>
          <w:bCs/>
          <w:sz w:val="20"/>
          <w:szCs w:val="20"/>
        </w:rPr>
      </w:pPr>
      <w:r w:rsidRPr="00F64ADE">
        <w:rPr>
          <w:rFonts w:ascii="AdvPS5962" w:eastAsia="Calibri" w:hAnsi="AdvPS5962" w:cs="Sabon Next LT"/>
          <w:b/>
          <w:bCs/>
          <w:sz w:val="20"/>
          <w:szCs w:val="20"/>
        </w:rPr>
        <w:t>Citation</w:t>
      </w:r>
      <w:r w:rsidRPr="00F64ADE">
        <w:rPr>
          <w:rFonts w:ascii="AdvPS5962" w:eastAsia="Calibri" w:hAnsi="AdvPS5962" w:cs="Sabon Next LT"/>
          <w:bCs/>
          <w:sz w:val="20"/>
          <w:szCs w:val="20"/>
        </w:rPr>
        <w:t xml:space="preserve">: </w:t>
      </w:r>
      <w:proofErr w:type="spellStart"/>
      <w:r w:rsidR="002E29C3" w:rsidRPr="00F64ADE">
        <w:rPr>
          <w:rFonts w:ascii="AdvPS5962" w:hAnsi="AdvPS5962" w:cs="Sabon Next LT"/>
          <w:sz w:val="20"/>
          <w:szCs w:val="20"/>
        </w:rPr>
        <w:t>Zeleke</w:t>
      </w:r>
      <w:proofErr w:type="spellEnd"/>
      <w:r w:rsidR="002E29C3" w:rsidRPr="00F64ADE">
        <w:rPr>
          <w:rFonts w:ascii="AdvPS5962" w:hAnsi="AdvPS5962" w:cs="Sabon Next LT"/>
          <w:sz w:val="20"/>
          <w:szCs w:val="20"/>
        </w:rPr>
        <w:t xml:space="preserve"> Y, </w:t>
      </w:r>
      <w:proofErr w:type="spellStart"/>
      <w:r w:rsidR="002E29C3" w:rsidRPr="00F64ADE">
        <w:rPr>
          <w:rFonts w:ascii="AdvPS5962" w:hAnsi="AdvPS5962" w:cs="Sabon Next LT"/>
          <w:sz w:val="20"/>
          <w:szCs w:val="20"/>
        </w:rPr>
        <w:t>Yazew</w:t>
      </w:r>
      <w:proofErr w:type="spellEnd"/>
      <w:r w:rsidR="002E29C3" w:rsidRPr="00F64ADE">
        <w:rPr>
          <w:rFonts w:ascii="AdvPS5962" w:hAnsi="AdvPS5962" w:cs="Sabon Next LT"/>
          <w:sz w:val="20"/>
          <w:szCs w:val="20"/>
        </w:rPr>
        <w:t xml:space="preserve"> T, </w:t>
      </w:r>
      <w:proofErr w:type="spellStart"/>
      <w:r w:rsidR="002E29C3" w:rsidRPr="00F64ADE">
        <w:rPr>
          <w:rFonts w:ascii="AdvPS5962" w:hAnsi="AdvPS5962" w:cs="Sabon Next LT"/>
          <w:sz w:val="20"/>
          <w:szCs w:val="20"/>
        </w:rPr>
        <w:t>Shukure</w:t>
      </w:r>
      <w:proofErr w:type="spellEnd"/>
      <w:r w:rsidR="002E29C3" w:rsidRPr="00F64ADE">
        <w:rPr>
          <w:rFonts w:ascii="AdvPS5962" w:hAnsi="AdvPS5962" w:cs="Sabon Next LT"/>
          <w:sz w:val="20"/>
          <w:szCs w:val="20"/>
        </w:rPr>
        <w:t xml:space="preserve"> R</w:t>
      </w:r>
      <w:r w:rsidR="003F31D2" w:rsidRPr="00F64ADE">
        <w:rPr>
          <w:rFonts w:ascii="AdvPS5962" w:hAnsi="AdvPS5962" w:cs="Sabon Next LT"/>
          <w:sz w:val="20"/>
          <w:szCs w:val="20"/>
        </w:rPr>
        <w:t>.</w:t>
      </w:r>
      <w:r w:rsidR="002E29C3" w:rsidRPr="00F64ADE">
        <w:rPr>
          <w:rFonts w:ascii="AdvPS5962" w:hAnsi="AdvPS5962"/>
        </w:rPr>
        <w:t xml:space="preserve"> </w:t>
      </w:r>
      <w:r w:rsidR="002E29C3" w:rsidRPr="00F64ADE">
        <w:rPr>
          <w:rFonts w:ascii="AdvPS5962" w:hAnsi="AdvPS5962" w:cs="Sabon Next LT"/>
          <w:sz w:val="20"/>
          <w:szCs w:val="20"/>
        </w:rPr>
        <w:t xml:space="preserve">Comparison of dietary diversity scores and associated factors among children in households with and without home gardens, </w:t>
      </w:r>
      <w:proofErr w:type="spellStart"/>
      <w:r w:rsidR="002E29C3" w:rsidRPr="00F64ADE">
        <w:rPr>
          <w:rFonts w:ascii="AdvPS5962" w:hAnsi="AdvPS5962" w:cs="Sabon Next LT"/>
          <w:sz w:val="20"/>
          <w:szCs w:val="20"/>
        </w:rPr>
        <w:t>Ginir</w:t>
      </w:r>
      <w:proofErr w:type="spellEnd"/>
      <w:r w:rsidR="002E29C3" w:rsidRPr="00F64ADE">
        <w:rPr>
          <w:rFonts w:ascii="AdvPS5962" w:hAnsi="AdvPS5962" w:cs="Sabon Next LT"/>
          <w:sz w:val="20"/>
          <w:szCs w:val="20"/>
        </w:rPr>
        <w:t xml:space="preserve"> District, Oromia Region, Ethiopia. </w:t>
      </w:r>
      <w:r w:rsidR="003F31D2" w:rsidRPr="00F64ADE">
        <w:rPr>
          <w:rFonts w:ascii="AdvPS5962" w:hAnsi="AdvPS5962" w:cs="Sabon Next LT"/>
          <w:sz w:val="20"/>
          <w:szCs w:val="20"/>
        </w:rPr>
        <w:t xml:space="preserve"> </w:t>
      </w:r>
      <w:bookmarkStart w:id="2" w:name="_Hlk237947046"/>
      <w:r w:rsidR="00985260" w:rsidRPr="00F64ADE">
        <w:rPr>
          <w:rFonts w:ascii="AdvPS5962" w:eastAsia="Calibri" w:hAnsi="AdvPS5962" w:cs="Sabon Next LT"/>
          <w:bCs/>
          <w:i/>
          <w:sz w:val="20"/>
        </w:rPr>
        <w:t>Horn Afr. j. health biomed. sci</w:t>
      </w:r>
      <w:r w:rsidRPr="00F64ADE">
        <w:rPr>
          <w:rFonts w:ascii="AdvPS5962" w:eastAsia="Calibri" w:hAnsi="AdvPS5962" w:cs="Sabon Next LT"/>
          <w:bCs/>
          <w:sz w:val="20"/>
        </w:rPr>
        <w:t xml:space="preserve">. </w:t>
      </w:r>
      <w:bookmarkEnd w:id="2"/>
      <w:r w:rsidRPr="00F64ADE">
        <w:rPr>
          <w:rFonts w:ascii="AdvPS5962" w:eastAsia="Calibri" w:hAnsi="AdvPS5962" w:cs="Sabon Next LT"/>
          <w:bCs/>
          <w:sz w:val="20"/>
        </w:rPr>
        <w:t>202</w:t>
      </w:r>
      <w:r w:rsidR="0000414B" w:rsidRPr="00F64ADE">
        <w:rPr>
          <w:rFonts w:ascii="AdvPS5962" w:eastAsia="Calibri" w:hAnsi="AdvPS5962" w:cs="Sabon Next LT"/>
          <w:bCs/>
          <w:sz w:val="20"/>
        </w:rPr>
        <w:t>6</w:t>
      </w:r>
      <w:r w:rsidRPr="00F64ADE">
        <w:rPr>
          <w:rFonts w:ascii="AdvPS5962" w:eastAsia="Calibri" w:hAnsi="AdvPS5962" w:cs="Sabon Next LT"/>
          <w:bCs/>
          <w:sz w:val="20"/>
        </w:rPr>
        <w:t xml:space="preserve">, </w:t>
      </w:r>
      <w:r w:rsidR="0000414B" w:rsidRPr="00F64ADE">
        <w:rPr>
          <w:rFonts w:ascii="AdvPS5962" w:eastAsia="Calibri" w:hAnsi="AdvPS5962" w:cs="Sabon Next LT"/>
          <w:bCs/>
          <w:sz w:val="20"/>
        </w:rPr>
        <w:t>2</w:t>
      </w:r>
      <w:r w:rsidRPr="00F64ADE">
        <w:rPr>
          <w:rFonts w:ascii="AdvPS5962" w:eastAsia="Calibri" w:hAnsi="AdvPS5962" w:cs="Sabon Next LT"/>
          <w:bCs/>
          <w:sz w:val="20"/>
        </w:rPr>
        <w:t>(</w:t>
      </w:r>
      <w:r w:rsidR="0000414B" w:rsidRPr="00F64ADE">
        <w:rPr>
          <w:rFonts w:ascii="AdvPS5962" w:eastAsia="Calibri" w:hAnsi="AdvPS5962" w:cs="Sabon Next LT"/>
          <w:bCs/>
          <w:sz w:val="20"/>
        </w:rPr>
        <w:t>1</w:t>
      </w:r>
      <w:r w:rsidRPr="00F64ADE">
        <w:rPr>
          <w:rFonts w:ascii="AdvPS5962" w:eastAsia="Calibri" w:hAnsi="AdvPS5962" w:cs="Sabon Next LT"/>
          <w:bCs/>
          <w:sz w:val="20"/>
        </w:rPr>
        <w:t xml:space="preserve">): </w:t>
      </w:r>
      <w:r w:rsidR="00AD7212">
        <w:rPr>
          <w:rFonts w:ascii="AdvPS5962" w:eastAsia="Calibri" w:hAnsi="AdvPS5962" w:cs="Sabon Next LT"/>
          <w:bCs/>
          <w:sz w:val="20"/>
        </w:rPr>
        <w:t xml:space="preserve">53–70 </w:t>
      </w:r>
    </w:p>
    <w:p w:rsidR="00B052D5" w:rsidRPr="00F64ADE" w:rsidRDefault="00B052D5" w:rsidP="001F647B">
      <w:pPr>
        <w:spacing w:after="0" w:line="240" w:lineRule="auto"/>
        <w:jc w:val="both"/>
        <w:rPr>
          <w:rFonts w:ascii="AdvPS5962" w:eastAsia="Calibri" w:hAnsi="AdvPS5962" w:cs="Sabon Next LT"/>
          <w:bCs/>
          <w:sz w:val="20"/>
          <w:szCs w:val="20"/>
        </w:rPr>
      </w:pPr>
      <w:r w:rsidRPr="00F64ADE">
        <w:rPr>
          <w:rFonts w:ascii="AdvPS5962" w:eastAsia="Calibri" w:hAnsi="AdvPS5962" w:cs="Sabon Next LT"/>
          <w:bCs/>
          <w:sz w:val="20"/>
          <w:szCs w:val="20"/>
        </w:rPr>
        <w:t xml:space="preserve">Edited by </w:t>
      </w:r>
      <w:r w:rsidR="00974669" w:rsidRPr="00974669">
        <w:rPr>
          <w:rFonts w:ascii="AdvPS5962" w:eastAsia="Calibri" w:hAnsi="AdvPS5962" w:cs="Sabon Next LT"/>
          <w:bCs/>
          <w:sz w:val="20"/>
          <w:szCs w:val="20"/>
        </w:rPr>
        <w:t>Getachew Shiferaw</w:t>
      </w:r>
      <w:r w:rsidR="0000414B" w:rsidRPr="00F64ADE">
        <w:rPr>
          <w:rFonts w:ascii="AdvPS5962" w:eastAsia="Calibri" w:hAnsi="AdvPS5962" w:cs="Sabon Next LT"/>
          <w:bCs/>
          <w:sz w:val="20"/>
          <w:szCs w:val="20"/>
        </w:rPr>
        <w:t xml:space="preserve"> </w:t>
      </w:r>
    </w:p>
    <w:p w:rsidR="00B052D5" w:rsidRPr="00F64ADE" w:rsidRDefault="00B052D5" w:rsidP="00AD7212">
      <w:pPr>
        <w:spacing w:before="120" w:after="120" w:line="240" w:lineRule="auto"/>
        <w:jc w:val="both"/>
        <w:rPr>
          <w:rFonts w:ascii="AdvPS5962" w:eastAsia="Calibri" w:hAnsi="AdvPS5962" w:cs="Sabon Next LT"/>
          <w:bCs/>
          <w:sz w:val="20"/>
          <w:szCs w:val="20"/>
        </w:rPr>
      </w:pPr>
      <w:r w:rsidRPr="00F64ADE">
        <w:rPr>
          <w:rFonts w:ascii="AdvPS5962" w:eastAsia="Calibri" w:hAnsi="AdvPS5962" w:cs="Sabon Next LT"/>
          <w:bCs/>
          <w:sz w:val="20"/>
          <w:szCs w:val="20"/>
        </w:rPr>
        <w:t>Copy right © 202</w:t>
      </w:r>
      <w:r w:rsidR="0000414B" w:rsidRPr="00F64ADE">
        <w:rPr>
          <w:rFonts w:ascii="AdvPS5962" w:eastAsia="Calibri" w:hAnsi="AdvPS5962" w:cs="Sabon Next LT"/>
          <w:bCs/>
          <w:sz w:val="20"/>
          <w:szCs w:val="20"/>
        </w:rPr>
        <w:t>6</w:t>
      </w:r>
      <w:r w:rsidR="00F64ADE" w:rsidRPr="00F64ADE">
        <w:rPr>
          <w:rFonts w:ascii="AdvPS5962" w:eastAsia="Calibri" w:hAnsi="AdvPS5962" w:cs="Sabon Next LT"/>
          <w:bCs/>
          <w:sz w:val="20"/>
          <w:szCs w:val="20"/>
        </w:rPr>
        <w:t xml:space="preserve"> </w:t>
      </w:r>
      <w:proofErr w:type="spellStart"/>
      <w:r w:rsidR="00F64ADE" w:rsidRPr="00F64ADE">
        <w:rPr>
          <w:rFonts w:ascii="AdvPS5962" w:hAnsi="AdvPS5962" w:cs="Sabon Next LT"/>
          <w:sz w:val="20"/>
          <w:szCs w:val="20"/>
        </w:rPr>
        <w:t>Zeleke</w:t>
      </w:r>
      <w:proofErr w:type="spellEnd"/>
      <w:r w:rsidR="00985260" w:rsidRPr="00F64ADE">
        <w:rPr>
          <w:rFonts w:ascii="AdvPS5962" w:eastAsia="Calibri" w:hAnsi="AdvPS5962" w:cs="Sabon Next LT"/>
          <w:bCs/>
          <w:sz w:val="20"/>
          <w:szCs w:val="20"/>
        </w:rPr>
        <w:t xml:space="preserve"> </w:t>
      </w:r>
      <w:r w:rsidRPr="00F64ADE">
        <w:rPr>
          <w:rFonts w:ascii="AdvPS5962" w:eastAsia="Calibri" w:hAnsi="AdvPS5962" w:cs="Sabon Next LT"/>
          <w:bCs/>
          <w:sz w:val="20"/>
          <w:szCs w:val="20"/>
        </w:rPr>
        <w:t>et al.</w:t>
      </w:r>
    </w:p>
    <w:p w:rsidR="001F647B" w:rsidRPr="006471A2" w:rsidRDefault="00B052D5" w:rsidP="006471A2">
      <w:pPr>
        <w:spacing w:after="0" w:line="240" w:lineRule="auto"/>
        <w:jc w:val="both"/>
        <w:rPr>
          <w:rFonts w:ascii="AdvPS5962" w:eastAsia="Calibri" w:hAnsi="AdvPS5962" w:cs="Sabon Next LT"/>
          <w:bCs/>
          <w:sz w:val="20"/>
          <w:szCs w:val="20"/>
        </w:rPr>
        <w:sectPr w:rsidR="001F647B" w:rsidRPr="006471A2" w:rsidSect="00242E53">
          <w:headerReference w:type="default" r:id="rId8"/>
          <w:footerReference w:type="default" r:id="rId9"/>
          <w:pgSz w:w="12240" w:h="15840"/>
          <w:pgMar w:top="1135" w:right="1440" w:bottom="1440" w:left="1440" w:header="720" w:footer="720" w:gutter="0"/>
          <w:pgNumType w:start="53"/>
          <w:cols w:space="720"/>
          <w:docGrid w:linePitch="360"/>
        </w:sectPr>
      </w:pPr>
      <w:r w:rsidRPr="00F64ADE">
        <w:rPr>
          <w:rFonts w:ascii="AdvPS5962" w:eastAsia="Calibri" w:hAnsi="AdvPS5962" w:cs="Sabon Next LT"/>
          <w:bCs/>
          <w:sz w:val="20"/>
          <w:szCs w:val="20"/>
        </w:rPr>
        <w:t xml:space="preserve">This is an open-access article distributed under the terms of the Creative Commons Attribution 4.0 International license. Address correspondence to </w:t>
      </w:r>
      <w:proofErr w:type="spellStart"/>
      <w:r w:rsidR="00F64ADE" w:rsidRPr="00F64ADE">
        <w:rPr>
          <w:rFonts w:ascii="AdvPS5962" w:hAnsi="AdvPS5962" w:cs="Sabon Next LT"/>
          <w:sz w:val="20"/>
          <w:szCs w:val="20"/>
        </w:rPr>
        <w:t>Yazew</w:t>
      </w:r>
      <w:proofErr w:type="spellEnd"/>
      <w:r w:rsidR="00F64ADE" w:rsidRPr="00F64ADE">
        <w:rPr>
          <w:rFonts w:ascii="AdvPS5962" w:hAnsi="AdvPS5962" w:cs="Sabon Next LT"/>
          <w:sz w:val="20"/>
          <w:szCs w:val="20"/>
        </w:rPr>
        <w:t xml:space="preserve"> </w:t>
      </w:r>
      <w:r w:rsidR="00F64ADE" w:rsidRPr="00F64ADE">
        <w:rPr>
          <w:rFonts w:ascii="AdvPS5962" w:eastAsia="Calibri" w:hAnsi="AdvPS5962" w:cs="Sabon Next LT"/>
          <w:bCs/>
          <w:sz w:val="20"/>
          <w:szCs w:val="20"/>
        </w:rPr>
        <w:t>et al.</w:t>
      </w:r>
      <w:r w:rsidR="006B56D0" w:rsidRPr="00F64ADE">
        <w:rPr>
          <w:rFonts w:ascii="AdvPS5962" w:eastAsia="Calibri" w:hAnsi="AdvPS5962" w:cs="Sabon Next LT"/>
          <w:bCs/>
          <w:sz w:val="20"/>
          <w:szCs w:val="20"/>
        </w:rPr>
        <w:t xml:space="preserve"> </w:t>
      </w:r>
      <w:hyperlink r:id="rId10" w:history="1">
        <w:r w:rsidR="00F64ADE" w:rsidRPr="00F64ADE">
          <w:rPr>
            <w:rStyle w:val="Hyperlink"/>
            <w:rFonts w:ascii="AdvPS5962" w:eastAsia="Calibri" w:hAnsi="AdvPS5962" w:cs="Sabon Next LT"/>
            <w:bCs/>
            <w:sz w:val="20"/>
            <w:szCs w:val="20"/>
          </w:rPr>
          <w:t>tamiruyazew2012@gmail.com</w:t>
        </w:r>
      </w:hyperlink>
      <w:r w:rsidR="00F64ADE" w:rsidRPr="00F64ADE">
        <w:rPr>
          <w:rFonts w:ascii="AdvPS5962" w:eastAsia="Calibri" w:hAnsi="AdvPS5962" w:cs="Sabon Next LT"/>
          <w:bCs/>
          <w:sz w:val="20"/>
          <w:szCs w:val="20"/>
        </w:rPr>
        <w:t>. T</w:t>
      </w:r>
      <w:r w:rsidRPr="00F64ADE">
        <w:rPr>
          <w:rFonts w:ascii="AdvPS5962" w:eastAsia="Calibri" w:hAnsi="AdvPS5962" w:cs="Sabon Next LT"/>
          <w:bCs/>
          <w:sz w:val="20"/>
          <w:szCs w:val="20"/>
        </w:rPr>
        <w:t>he authors declare that they have no competing interests. The views expressed in this article do not necessarily reflect the views of HAJHBS.</w:t>
      </w:r>
      <w:r w:rsidR="00E316D9" w:rsidRPr="00F64ADE">
        <w:rPr>
          <w:rFonts w:ascii="AdvPS5962" w:eastAsia="Calibri" w:hAnsi="AdvPS5962" w:cs="Sabon Next LT"/>
          <w:bCs/>
          <w:sz w:val="20"/>
          <w:szCs w:val="20"/>
        </w:rPr>
        <w:t xml:space="preserve"> </w:t>
      </w:r>
      <w:r w:rsidR="00DC0B1C" w:rsidRPr="00F64ADE">
        <w:rPr>
          <w:rFonts w:ascii="AdvPS5962" w:eastAsia="Calibri" w:hAnsi="AdvPS5962" w:cs="Sabon Next LT"/>
          <w:bCs/>
          <w:sz w:val="20"/>
          <w:szCs w:val="20"/>
        </w:rPr>
        <w:t xml:space="preserve">Submitted: </w:t>
      </w:r>
      <w:r w:rsidR="00F12546" w:rsidRPr="00F64ADE">
        <w:rPr>
          <w:rFonts w:ascii="AdvPS5962" w:eastAsia="Calibri" w:hAnsi="AdvPS5962" w:cs="Sabon Next LT"/>
          <w:bCs/>
          <w:sz w:val="20"/>
          <w:szCs w:val="20"/>
        </w:rPr>
        <w:t xml:space="preserve"> </w:t>
      </w:r>
      <w:r w:rsidR="006E06FC" w:rsidRPr="00F64ADE">
        <w:rPr>
          <w:rFonts w:ascii="AdvPS5962" w:eastAsia="Calibri" w:hAnsi="AdvPS5962" w:cs="Sabon Next LT"/>
          <w:bCs/>
          <w:sz w:val="20"/>
          <w:szCs w:val="20"/>
        </w:rPr>
        <w:t xml:space="preserve">September </w:t>
      </w:r>
      <w:r w:rsidR="006B56D0" w:rsidRPr="00F64ADE">
        <w:rPr>
          <w:rFonts w:ascii="AdvPS5962" w:eastAsia="Calibri" w:hAnsi="AdvPS5962" w:cs="Sabon Next LT"/>
          <w:bCs/>
          <w:sz w:val="20"/>
          <w:szCs w:val="20"/>
        </w:rPr>
        <w:t>0</w:t>
      </w:r>
      <w:r w:rsidR="00E316D9" w:rsidRPr="00F64ADE">
        <w:rPr>
          <w:rFonts w:ascii="AdvPS5962" w:eastAsia="Calibri" w:hAnsi="AdvPS5962" w:cs="Sabon Next LT"/>
          <w:bCs/>
          <w:sz w:val="20"/>
          <w:szCs w:val="20"/>
        </w:rPr>
        <w:t>8</w:t>
      </w:r>
      <w:r w:rsidR="00DC0B1C" w:rsidRPr="00F64ADE">
        <w:rPr>
          <w:rFonts w:ascii="AdvPS5962" w:eastAsia="Calibri" w:hAnsi="AdvPS5962" w:cs="Sabon Next LT"/>
          <w:bCs/>
          <w:sz w:val="20"/>
          <w:szCs w:val="20"/>
        </w:rPr>
        <w:t>, 202</w:t>
      </w:r>
      <w:r w:rsidR="00F12546" w:rsidRPr="00F64ADE">
        <w:rPr>
          <w:rFonts w:ascii="AdvPS5962" w:eastAsia="Calibri" w:hAnsi="AdvPS5962" w:cs="Sabon Next LT"/>
          <w:bCs/>
          <w:sz w:val="20"/>
          <w:szCs w:val="20"/>
        </w:rPr>
        <w:t>5</w:t>
      </w:r>
      <w:r w:rsidR="00DC0B1C" w:rsidRPr="00F64ADE">
        <w:rPr>
          <w:rFonts w:ascii="AdvPS5962" w:eastAsia="Calibri" w:hAnsi="AdvPS5962" w:cs="Sabon Next LT"/>
          <w:bCs/>
          <w:sz w:val="20"/>
          <w:szCs w:val="20"/>
        </w:rPr>
        <w:t xml:space="preserve"> </w:t>
      </w:r>
      <w:r w:rsidR="00DC0B1C" w:rsidRPr="00F64ADE">
        <w:rPr>
          <w:rFonts w:ascii="AdvPS5962" w:eastAsia="Calibri" w:hAnsi="AdvPS5962" w:cs="Cambria Math"/>
          <w:bCs/>
          <w:sz w:val="20"/>
          <w:szCs w:val="20"/>
        </w:rPr>
        <w:t>∣</w:t>
      </w:r>
      <w:r w:rsidR="00DC0B1C" w:rsidRPr="00F64ADE">
        <w:rPr>
          <w:rFonts w:ascii="AdvPS5962" w:eastAsia="Calibri" w:hAnsi="AdvPS5962" w:cs="Sabon Next LT"/>
          <w:bCs/>
          <w:sz w:val="20"/>
          <w:szCs w:val="20"/>
        </w:rPr>
        <w:t xml:space="preserve"> </w:t>
      </w:r>
      <w:r w:rsidRPr="00F64ADE">
        <w:rPr>
          <w:rFonts w:ascii="AdvPS5962" w:eastAsia="Calibri" w:hAnsi="AdvPS5962" w:cs="Sabon Next LT"/>
          <w:bCs/>
          <w:sz w:val="20"/>
          <w:szCs w:val="20"/>
        </w:rPr>
        <w:t>Revised</w:t>
      </w:r>
      <w:r w:rsidR="00DC0B1C" w:rsidRPr="00F64ADE">
        <w:rPr>
          <w:rFonts w:ascii="AdvPS5962" w:eastAsia="Calibri" w:hAnsi="AdvPS5962" w:cs="Sabon Next LT"/>
          <w:bCs/>
          <w:sz w:val="20"/>
          <w:szCs w:val="20"/>
        </w:rPr>
        <w:t xml:space="preserve">: </w:t>
      </w:r>
      <w:r w:rsidR="00E316D9" w:rsidRPr="00F64ADE">
        <w:rPr>
          <w:rFonts w:ascii="AdvPS5962" w:eastAsia="Calibri" w:hAnsi="AdvPS5962" w:cs="Sabon Next LT"/>
          <w:bCs/>
          <w:sz w:val="20"/>
          <w:szCs w:val="20"/>
        </w:rPr>
        <w:t>December 28</w:t>
      </w:r>
      <w:r w:rsidR="00DC0B1C" w:rsidRPr="00F64ADE">
        <w:rPr>
          <w:rFonts w:ascii="AdvPS5962" w:eastAsia="Calibri" w:hAnsi="AdvPS5962" w:cs="Sabon Next LT"/>
          <w:bCs/>
          <w:sz w:val="20"/>
          <w:szCs w:val="20"/>
        </w:rPr>
        <w:t>, 202</w:t>
      </w:r>
      <w:r w:rsidR="006B56D0" w:rsidRPr="00F64ADE">
        <w:rPr>
          <w:rFonts w:ascii="AdvPS5962" w:eastAsia="Calibri" w:hAnsi="AdvPS5962" w:cs="Sabon Next LT"/>
          <w:bCs/>
          <w:sz w:val="20"/>
          <w:szCs w:val="20"/>
        </w:rPr>
        <w:t>5</w:t>
      </w:r>
      <w:r w:rsidR="00DC0B1C" w:rsidRPr="00F64ADE">
        <w:rPr>
          <w:rFonts w:ascii="AdvPS5962" w:eastAsia="Calibri" w:hAnsi="AdvPS5962" w:cs="Sabon Next LT"/>
          <w:bCs/>
          <w:sz w:val="20"/>
          <w:szCs w:val="20"/>
        </w:rPr>
        <w:t xml:space="preserve"> </w:t>
      </w:r>
      <w:r w:rsidR="00DC0B1C" w:rsidRPr="00F64ADE">
        <w:rPr>
          <w:rFonts w:ascii="AdvPS5962" w:eastAsia="Calibri" w:hAnsi="AdvPS5962" w:cs="Cambria Math"/>
          <w:bCs/>
          <w:sz w:val="20"/>
          <w:szCs w:val="20"/>
        </w:rPr>
        <w:t>∣</w:t>
      </w:r>
      <w:r w:rsidRPr="00F64ADE">
        <w:rPr>
          <w:rFonts w:ascii="AdvPS5962" w:eastAsia="Calibri" w:hAnsi="AdvPS5962" w:cs="Sabon Next LT"/>
          <w:bCs/>
          <w:sz w:val="20"/>
          <w:szCs w:val="20"/>
        </w:rPr>
        <w:t xml:space="preserve"> </w:t>
      </w:r>
      <w:r w:rsidR="006B56D0" w:rsidRPr="00F64ADE">
        <w:rPr>
          <w:rFonts w:ascii="AdvPS5962" w:eastAsia="Calibri" w:hAnsi="AdvPS5962" w:cs="Sabon Next LT"/>
          <w:bCs/>
          <w:sz w:val="20"/>
          <w:szCs w:val="20"/>
        </w:rPr>
        <w:t xml:space="preserve">Accepted: </w:t>
      </w:r>
      <w:r w:rsidR="006E06FC" w:rsidRPr="00F64ADE">
        <w:rPr>
          <w:rFonts w:ascii="AdvPS5962" w:eastAsia="Calibri" w:hAnsi="AdvPS5962" w:cs="Sabon Next LT"/>
          <w:bCs/>
          <w:sz w:val="20"/>
          <w:szCs w:val="20"/>
        </w:rPr>
        <w:t xml:space="preserve">December </w:t>
      </w:r>
      <w:r w:rsidR="00E316D9" w:rsidRPr="00F64ADE">
        <w:rPr>
          <w:rFonts w:ascii="AdvPS5962" w:eastAsia="Calibri" w:hAnsi="AdvPS5962" w:cs="Sabon Next LT"/>
          <w:bCs/>
          <w:sz w:val="20"/>
          <w:szCs w:val="20"/>
        </w:rPr>
        <w:t>30</w:t>
      </w:r>
      <w:r w:rsidR="006B56D0" w:rsidRPr="00F64ADE">
        <w:rPr>
          <w:rFonts w:ascii="AdvPS5962" w:eastAsia="Calibri" w:hAnsi="AdvPS5962" w:cs="Sabon Next LT"/>
          <w:bCs/>
          <w:sz w:val="20"/>
          <w:szCs w:val="20"/>
        </w:rPr>
        <w:t xml:space="preserve">, 2025 ∣ </w:t>
      </w:r>
      <w:r w:rsidRPr="00EE608F">
        <w:rPr>
          <w:rFonts w:ascii="AdvPS5962" w:eastAsia="Calibri" w:hAnsi="AdvPS5962" w:cs="Sabon Next LT"/>
          <w:bCs/>
          <w:sz w:val="20"/>
          <w:szCs w:val="20"/>
        </w:rPr>
        <w:t>Published</w:t>
      </w:r>
      <w:r w:rsidR="00DC0B1C" w:rsidRPr="00EE608F">
        <w:rPr>
          <w:rFonts w:ascii="AdvPS5962" w:eastAsia="Calibri" w:hAnsi="AdvPS5962" w:cs="Sabon Next LT"/>
          <w:bCs/>
          <w:sz w:val="20"/>
          <w:szCs w:val="20"/>
        </w:rPr>
        <w:t xml:space="preserve">: </w:t>
      </w:r>
      <w:r w:rsidR="00E316D9" w:rsidRPr="00EE608F">
        <w:rPr>
          <w:rFonts w:ascii="AdvPS5962" w:eastAsia="Calibri" w:hAnsi="AdvPS5962" w:cs="Sabon Next LT"/>
          <w:bCs/>
          <w:sz w:val="20"/>
          <w:szCs w:val="20"/>
        </w:rPr>
        <w:t>August</w:t>
      </w:r>
      <w:r w:rsidR="00EE608F" w:rsidRPr="00EE608F">
        <w:rPr>
          <w:rFonts w:ascii="AdvPS5962" w:eastAsia="Calibri" w:hAnsi="AdvPS5962" w:cs="Sabon Next LT"/>
          <w:bCs/>
          <w:sz w:val="20"/>
          <w:szCs w:val="20"/>
        </w:rPr>
        <w:t xml:space="preserve">, 25, </w:t>
      </w:r>
      <w:r w:rsidR="00DC0B1C" w:rsidRPr="00EE608F">
        <w:rPr>
          <w:rFonts w:ascii="AdvPS5962" w:eastAsia="Calibri" w:hAnsi="AdvPS5962" w:cs="Sabon Next LT"/>
          <w:bCs/>
          <w:sz w:val="20"/>
          <w:szCs w:val="20"/>
        </w:rPr>
        <w:t>202</w:t>
      </w:r>
      <w:r w:rsidR="00F12546" w:rsidRPr="00EE608F">
        <w:rPr>
          <w:rFonts w:ascii="AdvPS5962" w:eastAsia="Calibri" w:hAnsi="AdvPS5962" w:cs="Sabon Next LT"/>
          <w:bCs/>
          <w:sz w:val="20"/>
          <w:szCs w:val="20"/>
        </w:rPr>
        <w:t>6</w:t>
      </w:r>
      <w:bookmarkStart w:id="3" w:name="_Toc135472149"/>
      <w:bookmarkEnd w:id="0"/>
    </w:p>
    <w:bookmarkEnd w:id="3"/>
    <w:p w:rsidR="00DB03A4" w:rsidRPr="00F64ADE" w:rsidRDefault="00AD7212" w:rsidP="006471A2">
      <w:pPr>
        <w:spacing w:after="200" w:line="276" w:lineRule="auto"/>
        <w:rPr>
          <w:rFonts w:ascii="AdvPS5962" w:hAnsi="AdvPS5962" w:cs="Times New Roman"/>
          <w:b/>
        </w:rPr>
      </w:pPr>
      <w:r>
        <w:rPr>
          <w:rFonts w:ascii="AdvPS5962" w:hAnsi="AdvPS5962" w:cs="Times New Roman"/>
          <w:b/>
        </w:rPr>
        <w:br w:type="page"/>
      </w:r>
      <w:r w:rsidR="00FC62B6" w:rsidRPr="00F64ADE">
        <w:rPr>
          <w:rFonts w:ascii="AdvPS5962" w:hAnsi="AdvPS5962" w:cs="Times New Roman"/>
          <w:b/>
        </w:rPr>
        <w:lastRenderedPageBreak/>
        <w:t>BACKGROUND</w:t>
      </w:r>
    </w:p>
    <w:p w:rsidR="00F64ADE" w:rsidRPr="00F64ADE" w:rsidRDefault="00F64ADE" w:rsidP="00F64ADE">
      <w:pPr>
        <w:spacing w:before="120" w:after="120" w:line="360" w:lineRule="auto"/>
        <w:jc w:val="both"/>
        <w:rPr>
          <w:rFonts w:ascii="AdvPS5962" w:hAnsi="AdvPS5962" w:cs="Times New Roman"/>
          <w:color w:val="000000" w:themeColor="text1"/>
        </w:rPr>
      </w:pPr>
      <w:bookmarkStart w:id="4" w:name="_Toc135413876"/>
      <w:bookmarkStart w:id="5" w:name="_Toc158707848"/>
      <w:bookmarkStart w:id="6" w:name="_Toc158708765"/>
      <w:bookmarkStart w:id="7" w:name="_Toc158709332"/>
      <w:bookmarkStart w:id="8" w:name="_Toc159425395"/>
      <w:bookmarkStart w:id="9" w:name="_Toc159576875"/>
      <w:bookmarkStart w:id="10" w:name="_Toc166711066"/>
      <w:bookmarkStart w:id="11" w:name="_Toc178151306"/>
      <w:bookmarkStart w:id="12" w:name="_Toc96803943"/>
      <w:bookmarkStart w:id="13" w:name="_Toc99975353"/>
      <w:r w:rsidRPr="00F64ADE">
        <w:rPr>
          <w:rFonts w:ascii="AdvPS5962" w:hAnsi="AdvPS5962" w:cs="Times New Roman"/>
          <w:color w:val="000000" w:themeColor="text1"/>
        </w:rPr>
        <w:t xml:space="preserve">Inadequate dietary diversity among young children contributes significantly to undernutrition and deficiencies in essential nutrients (1,2). An inadequate dietary diversity score is defined as the proportion of households that receive four or fewer food groups from the seven food groups consumed over the past 24 hours (1). Undernutrition, directly or indirectly, accounts for more than 50.0% of deaths among children (3), and 340 million people suffer from micronutrient deficiency globally (4). </w:t>
      </w:r>
      <w:r w:rsidRPr="00F64ADE">
        <w:rPr>
          <w:rFonts w:ascii="AdvPS5962" w:eastAsia="Times New Roman" w:hAnsi="AdvPS5962" w:cs="Times New Roman"/>
          <w:color w:val="000000" w:themeColor="text1"/>
        </w:rPr>
        <w:t>Inadequate feeding practices cause the deaths of about 3.4 million children under the age of five every year (5)</w:t>
      </w:r>
      <w:r w:rsidRPr="00F64ADE">
        <w:rPr>
          <w:rFonts w:ascii="AdvPS5962" w:hAnsi="AdvPS5962" w:cs="Times New Roman"/>
          <w:color w:val="000000" w:themeColor="text1"/>
        </w:rPr>
        <w:t xml:space="preserve">. </w:t>
      </w:r>
      <w:r w:rsidRPr="00F64ADE">
        <w:rPr>
          <w:rFonts w:ascii="AdvPS5962" w:eastAsia="Times New Roman" w:hAnsi="AdvPS5962" w:cs="Times New Roman"/>
          <w:color w:val="000000" w:themeColor="text1"/>
        </w:rPr>
        <w:t>About two-thirds of these deaths are related to improper feeding practices during the first two years of life (6,7).</w:t>
      </w:r>
      <w:r w:rsidRPr="00F64ADE">
        <w:rPr>
          <w:rFonts w:ascii="AdvPS5962" w:hAnsi="AdvPS5962" w:cs="Times New Roman"/>
          <w:color w:val="000000" w:themeColor="text1"/>
        </w:rPr>
        <w:t xml:space="preserve">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In 2022, about 45 million children under five (6.8%) were affected by wasting, and 13.6 million (2.1%) had severe wasting (8). Over three-quarters of these children live in Asia, and 22% are in Africa (8). In sub-Saharan Africa, nearly one in three children under the age of five suffers from stunted growth due to inadequate nutrition (9). Studies conducted in Bangladesh, Indonesia, Nepal, and India showed that the prevalence of inadequate dietary diversity among children under five was 40%, 46.3%, 53.5%, and 77%, respectively (10-12). In sub-Saharan African countries, the prevalence of inadequate dietary diversity among children was 79.9% (13).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In Ethiopia, poor dietary diversity scores among children under five range from 40.1% to 89.4% (14). Nationally, the most consumed foods within the past 24 hours were grains, roots, and tubers, accounting for 63.6% of consumption, followed by eggs at 17.2% and flesh foods at 8.7% (15). In Ethiopia, 39% of children under five are stunted, 11% are wasted, and 22% are underweight (16). Different regions of the country have varying prevalence of acute malnutrition.  For example, in Oromia Region, inadequate dietary practices among children under five years old range from 57.5% to 77% (17), and East Bale Zone is also one of those from the Oromia Region, which is highly affected by acute malnutrition (18).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lang w:eastAsia="zh-CN"/>
        </w:rPr>
        <w:t xml:space="preserve">The prevalence of undernutrition among children in Ethiopia does vary significantly across different regions. The prevalence of acute undernutrition among children in rural areas of the </w:t>
      </w:r>
      <w:proofErr w:type="spellStart"/>
      <w:r w:rsidRPr="00F64ADE">
        <w:rPr>
          <w:rFonts w:ascii="AdvPS5962" w:hAnsi="AdvPS5962" w:cs="Times New Roman"/>
          <w:color w:val="000000" w:themeColor="text1"/>
          <w:lang w:eastAsia="zh-CN"/>
        </w:rPr>
        <w:t>Seqota</w:t>
      </w:r>
      <w:proofErr w:type="spellEnd"/>
      <w:r w:rsidRPr="00F64ADE">
        <w:rPr>
          <w:rFonts w:ascii="AdvPS5962" w:hAnsi="AdvPS5962" w:cs="Times New Roman"/>
          <w:color w:val="000000" w:themeColor="text1"/>
          <w:lang w:eastAsia="zh-CN"/>
        </w:rPr>
        <w:t xml:space="preserve"> District in the Amhara Region of Ethiopia was 26% (19). According to the Nutrition Cluster, in Tigray, more than 115,000 children (14%) are severely malnourished (20). The prevalence of wasting among children under five ranges from as low as 4% in Addis Ababa to as high as 26% in the Afar Region, with the national average being 11% (21). In </w:t>
      </w:r>
      <w:proofErr w:type="spellStart"/>
      <w:r w:rsidRPr="00F64ADE">
        <w:rPr>
          <w:rFonts w:ascii="AdvPS5962" w:hAnsi="AdvPS5962" w:cs="Times New Roman"/>
          <w:color w:val="000000" w:themeColor="text1"/>
          <w:lang w:eastAsia="zh-CN"/>
        </w:rPr>
        <w:t>Shashemene</w:t>
      </w:r>
      <w:proofErr w:type="spellEnd"/>
      <w:r w:rsidRPr="00F64ADE">
        <w:rPr>
          <w:rFonts w:ascii="AdvPS5962" w:hAnsi="AdvPS5962" w:cs="Times New Roman"/>
          <w:color w:val="000000" w:themeColor="text1"/>
          <w:lang w:eastAsia="zh-CN"/>
        </w:rPr>
        <w:t xml:space="preserve">, Oromia Region, Ethiopia, the prevalence of acute malnutrition among children was 19.91% (22). In South </w:t>
      </w:r>
      <w:proofErr w:type="spellStart"/>
      <w:r w:rsidRPr="00F64ADE">
        <w:rPr>
          <w:rFonts w:ascii="AdvPS5962" w:hAnsi="AdvPS5962" w:cs="Times New Roman"/>
          <w:color w:val="000000" w:themeColor="text1"/>
          <w:lang w:eastAsia="zh-CN"/>
        </w:rPr>
        <w:t>Wollo</w:t>
      </w:r>
      <w:proofErr w:type="spellEnd"/>
      <w:r w:rsidRPr="00F64ADE">
        <w:rPr>
          <w:rFonts w:ascii="AdvPS5962" w:hAnsi="AdvPS5962" w:cs="Times New Roman"/>
          <w:color w:val="000000" w:themeColor="text1"/>
          <w:lang w:eastAsia="zh-CN"/>
        </w:rPr>
        <w:t>, Amhara Region, Ethiopia, the prevalence of acute malnutrition among children aged 6–59 months was 31.0% (23).</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lang w:eastAsia="zh-CN"/>
        </w:rPr>
        <w:lastRenderedPageBreak/>
        <w:t xml:space="preserve">In Asian and African countries, the primary causes of inadequate dietary diversity include factors such as lack of education, poor socioeconomic status, ineffective agricultural practices, limited access to markets, and food insecurity (5). </w:t>
      </w:r>
      <w:r w:rsidRPr="00F64ADE">
        <w:rPr>
          <w:rFonts w:ascii="AdvPS5962" w:hAnsi="AdvPS5962" w:cs="Times New Roman"/>
          <w:color w:val="000000" w:themeColor="text1"/>
        </w:rPr>
        <w:t>In</w:t>
      </w:r>
      <w:r w:rsidRPr="00F64ADE">
        <w:rPr>
          <w:rFonts w:ascii="AdvPS5962" w:hAnsi="AdvPS5962" w:cs="Times New Roman"/>
          <w:color w:val="000000" w:themeColor="text1"/>
          <w:lang w:eastAsia="zh-CN"/>
        </w:rPr>
        <w:t xml:space="preserve"> Ethiopia, poor dietary diversity is significantly linked to factors such as poor household wealth status, food insecurity, mass media, family size, and poor nutritional knowledge (24).</w:t>
      </w:r>
      <w:r w:rsidRPr="00F64ADE">
        <w:rPr>
          <w:rFonts w:ascii="AdvPS5962" w:hAnsi="AdvPS5962" w:cs="Times New Roman"/>
          <w:color w:val="000000" w:themeColor="text1"/>
        </w:rPr>
        <w:t xml:space="preserve"> N</w:t>
      </w:r>
      <w:r w:rsidRPr="00F64ADE">
        <w:rPr>
          <w:rFonts w:ascii="AdvPS5962" w:hAnsi="AdvPS5962" w:cs="Times New Roman"/>
          <w:color w:val="000000" w:themeColor="text1"/>
          <w:lang w:eastAsia="zh-CN"/>
        </w:rPr>
        <w:t>o single food group can provide all the nutrients necessary for optimal health and performance. Therefore, it is essential to include a variety of food groups in the daily diet to meet nutritional requirements adequately (25). The Ethiopian government launched a revised National Nutrition Program II (NNP II) aimed at reducing food insecurity and undernutrition. One of the key interventions is to promote dietary diversity by enhancing the knowledge and practices of farmers regarding household dietary diversity (26).</w:t>
      </w:r>
      <w:r w:rsidRPr="00F64ADE">
        <w:rPr>
          <w:rFonts w:ascii="AdvPS5962" w:hAnsi="AdvPS5962" w:cs="Times New Roman"/>
          <w:color w:val="000000" w:themeColor="text1"/>
        </w:rPr>
        <w:t xml:space="preserve"> One possible intervention to ensure a dietary diversity score is home gardening practices, which have been shown to have </w:t>
      </w:r>
      <w:proofErr w:type="spellStart"/>
      <w:r w:rsidRPr="00F64ADE">
        <w:rPr>
          <w:rFonts w:ascii="AdvPS5962" w:hAnsi="AdvPS5962" w:cs="Times New Roman"/>
          <w:color w:val="000000" w:themeColor="text1"/>
        </w:rPr>
        <w:t>favourable</w:t>
      </w:r>
      <w:proofErr w:type="spellEnd"/>
      <w:r w:rsidRPr="00F64ADE">
        <w:rPr>
          <w:rFonts w:ascii="AdvPS5962" w:hAnsi="AdvPS5962" w:cs="Times New Roman"/>
          <w:color w:val="000000" w:themeColor="text1"/>
        </w:rPr>
        <w:t xml:space="preserve"> effects on children's nutritional outcomes and dietary intake (27).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lang w:eastAsia="zh-CN"/>
        </w:rPr>
        <w:t>Previous studies focused on dietary diversity and its associated factors among children and did not compare the dietary diversity practices of children who live in households with and without home gardens. Besides, to the knowledge of researchers, there is a</w:t>
      </w:r>
      <w:r w:rsidRPr="00F64ADE">
        <w:rPr>
          <w:rFonts w:ascii="AdvPS5962" w:hAnsi="AdvPS5962" w:cs="Times New Roman"/>
          <w:color w:val="000000" w:themeColor="text1"/>
        </w:rPr>
        <w:t xml:space="preserve"> </w:t>
      </w:r>
      <w:r w:rsidRPr="00F64ADE">
        <w:rPr>
          <w:rFonts w:ascii="AdvPS5962" w:hAnsi="AdvPS5962" w:cs="Times New Roman"/>
          <w:color w:val="000000" w:themeColor="text1"/>
          <w:lang w:eastAsia="zh-CN"/>
        </w:rPr>
        <w:t xml:space="preserve">literature gap and a scarcity of information in the study area. Therefore, this study designed to compare the dietary diversity practices and associated factors among children </w:t>
      </w:r>
      <w:r w:rsidRPr="00F64ADE">
        <w:rPr>
          <w:rFonts w:ascii="AdvPS5962" w:hAnsi="AdvPS5962" w:cs="Times New Roman"/>
          <w:color w:val="000000" w:themeColor="text1"/>
          <w:lang w:eastAsia="zh-CN"/>
        </w:rPr>
        <w:t xml:space="preserve">living in households with and without home gardens of the </w:t>
      </w:r>
      <w:proofErr w:type="spellStart"/>
      <w:r w:rsidRPr="00F64ADE">
        <w:rPr>
          <w:rFonts w:ascii="AdvPS5962" w:hAnsi="AdvPS5962" w:cs="Times New Roman"/>
          <w:color w:val="000000" w:themeColor="text1"/>
          <w:lang w:eastAsia="zh-CN"/>
        </w:rPr>
        <w:t>Ginir</w:t>
      </w:r>
      <w:proofErr w:type="spellEnd"/>
      <w:r w:rsidRPr="00F64ADE">
        <w:rPr>
          <w:rFonts w:ascii="AdvPS5962" w:hAnsi="AdvPS5962" w:cs="Times New Roman"/>
          <w:color w:val="000000" w:themeColor="text1"/>
          <w:lang w:eastAsia="zh-CN"/>
        </w:rPr>
        <w:t xml:space="preserve"> District, Oromia Region, Ethiopia.</w:t>
      </w:r>
    </w:p>
    <w:p w:rsidR="00F64ADE" w:rsidRPr="00F64ADE" w:rsidRDefault="00F64ADE" w:rsidP="00F64ADE">
      <w:pPr>
        <w:spacing w:before="120" w:after="120" w:line="360" w:lineRule="auto"/>
        <w:jc w:val="both"/>
        <w:rPr>
          <w:rFonts w:ascii="AdvPS5962" w:hAnsi="AdvPS5962" w:cs="Times New Roman"/>
          <w:b/>
          <w:color w:val="000000" w:themeColor="text1"/>
        </w:rPr>
      </w:pPr>
      <w:r w:rsidRPr="00F64ADE">
        <w:rPr>
          <w:rFonts w:ascii="AdvPS5962" w:hAnsi="AdvPS5962" w:cs="Times New Roman"/>
          <w:b/>
          <w:color w:val="000000" w:themeColor="text1"/>
        </w:rPr>
        <w:t xml:space="preserve"> METHODS </w:t>
      </w:r>
      <w:bookmarkStart w:id="14" w:name="_Toc166711067"/>
      <w:bookmarkStart w:id="15" w:name="_Toc178151307"/>
      <w:bookmarkStart w:id="16" w:name="_Toc135413877"/>
      <w:bookmarkEnd w:id="4"/>
      <w:bookmarkEnd w:id="5"/>
      <w:bookmarkEnd w:id="6"/>
      <w:bookmarkEnd w:id="7"/>
      <w:bookmarkEnd w:id="8"/>
      <w:bookmarkEnd w:id="9"/>
      <w:bookmarkEnd w:id="10"/>
      <w:bookmarkEnd w:id="11"/>
    </w:p>
    <w:bookmarkEnd w:id="14"/>
    <w:bookmarkEnd w:id="15"/>
    <w:p w:rsidR="00F64ADE" w:rsidRPr="00F64ADE" w:rsidRDefault="00F64ADE" w:rsidP="00F64ADE">
      <w:pPr>
        <w:spacing w:before="120" w:after="120" w:line="360" w:lineRule="auto"/>
        <w:jc w:val="both"/>
        <w:rPr>
          <w:rFonts w:ascii="AdvPS5962" w:eastAsia="Times New Roman" w:hAnsi="AdvPS5962" w:cs="Times New Roman"/>
          <w:b/>
          <w:color w:val="000000" w:themeColor="text1"/>
        </w:rPr>
      </w:pPr>
      <w:r w:rsidRPr="00F64ADE">
        <w:rPr>
          <w:rFonts w:ascii="AdvPS5962" w:hAnsi="AdvPS5962" w:cs="Times New Roman"/>
          <w:b/>
          <w:color w:val="000000" w:themeColor="text1"/>
        </w:rPr>
        <w:t>Study settings, design, and period</w:t>
      </w:r>
    </w:p>
    <w:p w:rsidR="00F64ADE" w:rsidRPr="00F64ADE" w:rsidRDefault="00F64ADE" w:rsidP="00F64ADE">
      <w:pPr>
        <w:spacing w:before="120" w:after="120" w:line="360" w:lineRule="auto"/>
        <w:jc w:val="both"/>
        <w:rPr>
          <w:rFonts w:ascii="AdvPS5962" w:hAnsi="AdvPS5962" w:cs="Times New Roman"/>
          <w:color w:val="000000" w:themeColor="text1"/>
        </w:rPr>
      </w:pPr>
      <w:bookmarkStart w:id="17" w:name="_Toc158707849"/>
      <w:bookmarkStart w:id="18" w:name="_Toc158708766"/>
      <w:bookmarkStart w:id="19" w:name="_Toc158709333"/>
      <w:bookmarkStart w:id="20" w:name="_Toc159425396"/>
      <w:bookmarkStart w:id="21" w:name="_Toc159576876"/>
      <w:r w:rsidRPr="00F64ADE">
        <w:rPr>
          <w:rFonts w:ascii="AdvPS5962" w:hAnsi="AdvPS5962" w:cs="Times New Roman"/>
          <w:color w:val="000000" w:themeColor="text1"/>
        </w:rPr>
        <w:t xml:space="preserve">A community-based comparative cross-sectional study was done in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District, East Bale Zone of Oromia Region, Ethiopia, from April 30, 2024, to June 15, 2024. As an administrative town within the East Bale Zone located in south-eastern Ethiopia, it is approximately 560 kilometers away from Addis Ababa. The district comprises 33 rural kebeles. Recent demographic data indicate that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has a total population of 139,495, of whom 71,323 were men and 68,172 were women (28). Among them, there are 28,842 children aged 6 to 59 months. Common agricultural practices in the district include </w:t>
      </w:r>
      <w:proofErr w:type="spellStart"/>
      <w:r w:rsidRPr="00F64ADE">
        <w:rPr>
          <w:rFonts w:ascii="AdvPS5962" w:hAnsi="AdvPS5962" w:cs="Times New Roman"/>
          <w:color w:val="000000" w:themeColor="text1"/>
        </w:rPr>
        <w:t>teff</w:t>
      </w:r>
      <w:proofErr w:type="spellEnd"/>
      <w:r w:rsidRPr="00F64ADE">
        <w:rPr>
          <w:rFonts w:ascii="AdvPS5962" w:hAnsi="AdvPS5962" w:cs="Times New Roman"/>
          <w:color w:val="000000" w:themeColor="text1"/>
        </w:rPr>
        <w:t xml:space="preserve">, wheat, sorghum, barley, maize, peas, and beans, as well as various vegetables and fruits. According to the 2016 report from the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District Agricultural Office, nearly 1,400 households have home gardens to ensure food security and generate revenue, while over 2,500 households do not have home gardens (29). </w:t>
      </w:r>
    </w:p>
    <w:p w:rsidR="00F64ADE" w:rsidRPr="00F64ADE" w:rsidRDefault="00F64ADE" w:rsidP="00F64ADE">
      <w:pPr>
        <w:spacing w:before="120" w:after="120" w:line="360" w:lineRule="auto"/>
        <w:jc w:val="both"/>
        <w:rPr>
          <w:rFonts w:ascii="AdvPS5962" w:hAnsi="AdvPS5962" w:cs="Times New Roman"/>
          <w:b/>
          <w:color w:val="000000" w:themeColor="text1"/>
        </w:rPr>
      </w:pPr>
      <w:r w:rsidRPr="00F64ADE">
        <w:rPr>
          <w:rFonts w:ascii="AdvPS5962" w:hAnsi="AdvPS5962" w:cs="Times New Roman"/>
          <w:b/>
          <w:color w:val="000000" w:themeColor="text1"/>
        </w:rPr>
        <w:t xml:space="preserve">Inclusion and exclusion criteria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All mothers who had children aged 6–59 months living in households with and without gardens of the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District were included in the study. Mothers who were critically ill and had mental problems during the survey were excluded from the study.</w:t>
      </w:r>
    </w:p>
    <w:p w:rsidR="00F64ADE" w:rsidRPr="00F64ADE" w:rsidRDefault="00F64ADE" w:rsidP="00F64ADE">
      <w:pPr>
        <w:rPr>
          <w:rFonts w:ascii="AdvPS5962" w:hAnsi="AdvPS5962"/>
          <w:b/>
        </w:rPr>
      </w:pPr>
      <w:r w:rsidRPr="00F64ADE">
        <w:rPr>
          <w:rFonts w:ascii="AdvPS5962" w:hAnsi="AdvPS5962"/>
        </w:rPr>
        <w:lastRenderedPageBreak/>
        <w:t xml:space="preserve"> </w:t>
      </w:r>
      <w:r w:rsidRPr="00F64ADE">
        <w:rPr>
          <w:rFonts w:ascii="AdvPS5962" w:hAnsi="AdvPS5962" w:cs="Times New Roman"/>
          <w:b/>
          <w:color w:val="000000" w:themeColor="text1"/>
        </w:rPr>
        <w:t>Sample size calculation</w:t>
      </w:r>
      <w:r w:rsidRPr="00F64ADE">
        <w:rPr>
          <w:rFonts w:ascii="AdvPS5962" w:hAnsi="AdvPS5962"/>
          <w:b/>
        </w:rPr>
        <w:t xml:space="preserve">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The sample size was determined using the double population proportion formula considering the following assumptions: 95% confidence level, 80% power of the study, and a 1-to-1 ratio of households with gardens to households without gardens.  The proportion of good dietary diversity scores among children in households with home gardens was 23% (P1 = 0.23), which was taken from a previous study conducted in Ethiopia (17). A 10% difference in adequate dietary diversity among children under five years in households without home gardens is expected, and thus the prevalence of adequate dietary diversity is 13% (p2 = 0.13). Finally, by considering the design effect of 1.5 and 10% non-response rate, the required sample size for this study was 762 (381 for households with home gardens and 381 for households without home gardens).</w:t>
      </w:r>
    </w:p>
    <w:p w:rsidR="00F64ADE" w:rsidRPr="00F64ADE" w:rsidRDefault="00F64ADE" w:rsidP="00F64ADE">
      <w:pPr>
        <w:spacing w:before="120" w:after="120" w:line="360" w:lineRule="auto"/>
        <w:jc w:val="both"/>
        <w:rPr>
          <w:rFonts w:ascii="AdvPS5962" w:hAnsi="AdvPS5962" w:cs="Times New Roman"/>
          <w:b/>
          <w:color w:val="000000" w:themeColor="text1"/>
        </w:rPr>
      </w:pPr>
      <w:r w:rsidRPr="00F64ADE">
        <w:rPr>
          <w:rFonts w:ascii="AdvPS5962" w:hAnsi="AdvPS5962" w:cs="Times New Roman"/>
          <w:b/>
          <w:color w:val="000000" w:themeColor="text1"/>
        </w:rPr>
        <w:t xml:space="preserve">Sampling procedures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To select study participants for this study, the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District was purposively used as the study area to assess dietary diversity practices among households that had home gardens and non-gardens. The multistage sampling method was employed. Initially, of the total of 33 rural kebeles in the </w:t>
      </w:r>
      <w:proofErr w:type="spellStart"/>
      <w:r w:rsidRPr="00F64ADE">
        <w:rPr>
          <w:rFonts w:ascii="AdvPS5962" w:hAnsi="AdvPS5962" w:cs="Times New Roman"/>
          <w:color w:val="000000" w:themeColor="text1"/>
        </w:rPr>
        <w:t>Ginir</w:t>
      </w:r>
      <w:proofErr w:type="spellEnd"/>
      <w:r w:rsidRPr="00F64ADE">
        <w:rPr>
          <w:rFonts w:ascii="AdvPS5962" w:hAnsi="AdvPS5962" w:cs="Times New Roman"/>
          <w:color w:val="000000" w:themeColor="text1"/>
        </w:rPr>
        <w:t xml:space="preserve"> District, 10 kebeles were selected through a lottery method. Subsequently, à total of 3927 households with children aged between 6 and 59 months residing in the selected kebeles were identified and listed at the health post level by health extension workers utilizing data from </w:t>
      </w:r>
      <w:r w:rsidRPr="00F64ADE">
        <w:rPr>
          <w:rFonts w:ascii="AdvPS5962" w:hAnsi="AdvPS5962" w:cs="Times New Roman"/>
          <w:color w:val="000000" w:themeColor="text1"/>
        </w:rPr>
        <w:t xml:space="preserve">the Community-Based Health Information System. In the study area, about 1401 and 2526 children were found in households with and without home gardens, respectively. These children were then stratified into the above two groups: those households that have home gardens and those without gardens. Next, the calculated sample size was proportionately allocated to each household from the two groups. Finally, the required sample for this study was selected using a systematic sampling technique from the two groups. Whenever there were two or more under-five children in the house, a lottery method was used to select one eligible child. </w:t>
      </w:r>
    </w:p>
    <w:p w:rsidR="00F64ADE" w:rsidRPr="00F64ADE" w:rsidRDefault="00F64ADE" w:rsidP="00F64ADE">
      <w:pPr>
        <w:pStyle w:val="Heading2"/>
        <w:spacing w:before="120" w:after="120" w:line="360" w:lineRule="auto"/>
        <w:rPr>
          <w:rFonts w:ascii="AdvPS5962" w:hAnsi="AdvPS5962" w:cs="Times New Roman"/>
          <w:color w:val="000000" w:themeColor="text1"/>
          <w:sz w:val="22"/>
          <w:szCs w:val="22"/>
        </w:rPr>
      </w:pPr>
      <w:r w:rsidRPr="00F64ADE">
        <w:rPr>
          <w:rFonts w:ascii="AdvPS5962" w:hAnsi="AdvPS5962" w:cs="Times New Roman"/>
          <w:color w:val="000000" w:themeColor="text1"/>
          <w:sz w:val="22"/>
          <w:szCs w:val="22"/>
        </w:rPr>
        <w:t>Data collection</w:t>
      </w:r>
      <w:r w:rsidRPr="00F64ADE">
        <w:rPr>
          <w:rFonts w:ascii="AdvPS5962" w:eastAsiaTheme="minorHAnsi" w:hAnsi="AdvPS5962" w:cs="Times New Roman"/>
          <w:color w:val="000000" w:themeColor="text1"/>
          <w:sz w:val="22"/>
          <w:szCs w:val="22"/>
        </w:rPr>
        <w:t xml:space="preserve"> tools and procedures  </w:t>
      </w:r>
    </w:p>
    <w:p w:rsidR="00F64ADE" w:rsidRPr="00F64ADE" w:rsidRDefault="00F64ADE" w:rsidP="00F64ADE">
      <w:pPr>
        <w:spacing w:before="120" w:after="120" w:line="360" w:lineRule="auto"/>
        <w:jc w:val="both"/>
        <w:rPr>
          <w:rFonts w:ascii="AdvPS5962" w:eastAsia="SimSun" w:hAnsi="AdvPS5962" w:cs="Times New Roman"/>
          <w:color w:val="000000" w:themeColor="text1"/>
        </w:rPr>
      </w:pPr>
      <w:r w:rsidRPr="00F64ADE">
        <w:rPr>
          <w:rFonts w:ascii="AdvPS5962" w:eastAsia="SimSun" w:hAnsi="AdvPS5962" w:cs="Times New Roman"/>
          <w:color w:val="000000" w:themeColor="text1"/>
        </w:rPr>
        <w:t>Data collection instruments were adapted from different literature (17,24). First, the questionnaire was prepared in English, then translated into the local language (</w:t>
      </w:r>
      <w:proofErr w:type="spellStart"/>
      <w:r w:rsidRPr="00F64ADE">
        <w:rPr>
          <w:rFonts w:ascii="AdvPS5962" w:eastAsia="SimSun" w:hAnsi="AdvPS5962" w:cs="Times New Roman"/>
          <w:color w:val="000000" w:themeColor="text1"/>
        </w:rPr>
        <w:t>Afaan</w:t>
      </w:r>
      <w:proofErr w:type="spellEnd"/>
      <w:r w:rsidRPr="00F64ADE">
        <w:rPr>
          <w:rFonts w:ascii="AdvPS5962" w:eastAsia="SimSun" w:hAnsi="AdvPS5962" w:cs="Times New Roman"/>
          <w:color w:val="000000" w:themeColor="text1"/>
        </w:rPr>
        <w:t xml:space="preserve"> </w:t>
      </w:r>
      <w:proofErr w:type="spellStart"/>
      <w:r w:rsidRPr="00F64ADE">
        <w:rPr>
          <w:rFonts w:ascii="AdvPS5962" w:eastAsia="SimSun" w:hAnsi="AdvPS5962" w:cs="Times New Roman"/>
          <w:color w:val="000000" w:themeColor="text1"/>
        </w:rPr>
        <w:t>Oromoo</w:t>
      </w:r>
      <w:proofErr w:type="spellEnd"/>
      <w:r w:rsidRPr="00F64ADE">
        <w:rPr>
          <w:rFonts w:ascii="AdvPS5962" w:eastAsia="SimSun" w:hAnsi="AdvPS5962" w:cs="Times New Roman"/>
          <w:color w:val="000000" w:themeColor="text1"/>
        </w:rPr>
        <w:t xml:space="preserve">) for fieldwork purposes and back-translated into English to verify consistency. The questionnaire consists of different parts, including socio-demographic-related, child-related, and maternal-related parts, knowledge, dietary diversity practices, and the wealth index. </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In this study, child dietary diversity scores (DDS) (good /poor) were used as the dependent variable. A 24-hour recall method was used to assess child DDS. For children aged 6 to 23 months, good DDS was fulfilled if a child has received five or more food groups from eight food groups, while poor DDS was if the child has </w:t>
      </w:r>
      <w:r w:rsidRPr="00F64ADE">
        <w:rPr>
          <w:rFonts w:ascii="AdvPS5962" w:hAnsi="AdvPS5962" w:cs="Times New Roman"/>
          <w:color w:val="000000" w:themeColor="text1"/>
        </w:rPr>
        <w:lastRenderedPageBreak/>
        <w:t>received less than five from eight food groups; (1)Grains, roots/tubers, (2) legumes/nuts/seeds, (3) dairy products, (4) flesh foods, (5) eggs, (6) vitamin rich fruits and vegetables, (7) other fruits and vegetables and (8) breastfeeding. For children aged 24 to 59 months, good DDS fulfilled if a child has received four or more food groups from seven food groups. Whereas, poor DDS if the child has received less than four from seven food groups; (1) Grains, roots/tubers, (2) legumes/nuts/seeds, (3) dairy products, (4) flesh foods, (5) eggs, (6) vitamin rich fruits and vegetables, and (7) other fruits and vegetables (30). In this study, socio-demographic, maternal, child-related variables, nutritional knowledge of mothers on nutrition, and home gardening practices were considered as the independent variables.</w:t>
      </w:r>
    </w:p>
    <w:p w:rsidR="00F64ADE" w:rsidRPr="00F64ADE" w:rsidRDefault="00F64ADE" w:rsidP="00F64ADE">
      <w:pPr>
        <w:spacing w:before="120" w:after="120" w:line="360" w:lineRule="auto"/>
        <w:jc w:val="both"/>
        <w:rPr>
          <w:rFonts w:ascii="AdvPS5962" w:hAnsi="AdvPS5962" w:cs="Times New Roman"/>
          <w:b/>
          <w:color w:val="000000" w:themeColor="text1"/>
          <w:shd w:val="clear" w:color="auto" w:fill="FFFFFF"/>
        </w:rPr>
      </w:pPr>
      <w:r w:rsidRPr="00F64ADE">
        <w:rPr>
          <w:rFonts w:ascii="AdvPS5962" w:hAnsi="AdvPS5962" w:cs="Times New Roman"/>
          <w:b/>
          <w:color w:val="000000" w:themeColor="text1"/>
          <w:shd w:val="clear" w:color="auto" w:fill="FFFFFF"/>
        </w:rPr>
        <w:t>Data quality assurance</w:t>
      </w:r>
    </w:p>
    <w:p w:rsidR="00F64ADE" w:rsidRPr="00F64ADE" w:rsidRDefault="00F64ADE" w:rsidP="00F64ADE">
      <w:pPr>
        <w:spacing w:before="120" w:after="120" w:line="360" w:lineRule="auto"/>
        <w:jc w:val="both"/>
        <w:rPr>
          <w:rFonts w:ascii="AdvPS5962" w:hAnsi="AdvPS5962" w:cs="Times New Roman"/>
          <w:color w:val="000000" w:themeColor="text1"/>
        </w:rPr>
      </w:pPr>
      <w:r w:rsidRPr="00F64ADE">
        <w:rPr>
          <w:rFonts w:ascii="AdvPS5962" w:hAnsi="AdvPS5962" w:cs="Times New Roman"/>
          <w:color w:val="000000" w:themeColor="text1"/>
        </w:rPr>
        <w:t xml:space="preserve">To ensure data accuracy, training was given to </w:t>
      </w:r>
      <w:r w:rsidRPr="00F64ADE">
        <w:rPr>
          <w:rFonts w:ascii="AdvPS5962" w:eastAsia="SimSun" w:hAnsi="AdvPS5962" w:cs="Times New Roman"/>
          <w:color w:val="000000" w:themeColor="text1"/>
        </w:rPr>
        <w:t>seven data collectors and two supervisors. A pre-test was also conducted on 5% of the sample size to make the necessary amendments and corrections to the tool. Then, some tools, procedures, and ambiguous questionnaires were edited. The supervisors monitored the data collection process and reviewed the questionnaires daily for completeness.</w:t>
      </w:r>
    </w:p>
    <w:p w:rsidR="00F64ADE" w:rsidRPr="0053734E" w:rsidRDefault="00F64ADE" w:rsidP="00F64ADE">
      <w:pPr>
        <w:rPr>
          <w:rFonts w:ascii="AdvPS5962" w:hAnsi="AdvPS5962"/>
          <w:color w:val="000000" w:themeColor="text1"/>
        </w:rPr>
      </w:pPr>
      <w:r w:rsidRPr="000F4295">
        <w:rPr>
          <w:rStyle w:val="Heading2Char"/>
          <w:rFonts w:ascii="AdvPS5962" w:hAnsi="AdvPS5962" w:cs="Times New Roman"/>
          <w:color w:val="000000" w:themeColor="text1"/>
          <w:sz w:val="22"/>
          <w:szCs w:val="22"/>
        </w:rPr>
        <w:t>Data processing and analysis</w:t>
      </w:r>
      <w:r w:rsidRPr="0053734E">
        <w:rPr>
          <w:rFonts w:ascii="AdvPS5962" w:hAnsi="AdvPS5962"/>
          <w:color w:val="000000" w:themeColor="text1"/>
        </w:rPr>
        <w:t xml:space="preserve"> </w:t>
      </w:r>
    </w:p>
    <w:p w:rsidR="00F64ADE" w:rsidRPr="00F64ADE" w:rsidRDefault="00F64ADE" w:rsidP="00F64ADE">
      <w:pPr>
        <w:spacing w:before="120" w:after="120" w:line="360" w:lineRule="auto"/>
        <w:jc w:val="both"/>
        <w:rPr>
          <w:rFonts w:ascii="AdvPS5962" w:eastAsia="Times New Roman" w:hAnsi="AdvPS5962" w:cs="Times New Roman"/>
          <w:color w:val="000000" w:themeColor="text1"/>
          <w:szCs w:val="24"/>
        </w:rPr>
      </w:pPr>
      <w:r w:rsidRPr="00F64ADE">
        <w:rPr>
          <w:rFonts w:ascii="AdvPS5962" w:eastAsia="Times New Roman" w:hAnsi="AdvPS5962" w:cs="Times New Roman"/>
          <w:color w:val="000000" w:themeColor="text1"/>
        </w:rPr>
        <w:t xml:space="preserve">The collected data were coded, entered, and cleaned using Epi Data version 4.6 and exported to Statistical Package for Social Sciences (SPSS) </w:t>
      </w:r>
      <w:r w:rsidRPr="00F64ADE">
        <w:rPr>
          <w:rFonts w:ascii="AdvPS5962" w:eastAsia="Times New Roman" w:hAnsi="AdvPS5962" w:cs="Times New Roman"/>
          <w:color w:val="000000" w:themeColor="text1"/>
        </w:rPr>
        <w:t xml:space="preserve">version 25 for analysis. Descriptive statistics like frequency, percentage, and mean were also carried out. Multicollinearity among the independent variables was assessed by examining the standard error, with a cutoff value set between -2 and +2 (VIF=1.24). None of the independent variables exhibited multicollinearity within this range. </w:t>
      </w:r>
      <w:r w:rsidRPr="00F64ADE">
        <w:rPr>
          <w:rFonts w:ascii="AdvPS5962" w:hAnsi="AdvPS5962" w:cs="Times New Roman"/>
          <w:color w:val="000000" w:themeColor="text1"/>
        </w:rPr>
        <w:t>A sequential</w:t>
      </w:r>
      <w:r w:rsidRPr="00F64ADE">
        <w:rPr>
          <w:rFonts w:ascii="AdvPS5962" w:hAnsi="AdvPS5962" w:cs="Times New Roman"/>
          <w:color w:val="000000" w:themeColor="text1"/>
          <w:szCs w:val="24"/>
        </w:rPr>
        <w:t xml:space="preserve"> multiple regression </w:t>
      </w:r>
      <w:r w:rsidRPr="00F64ADE">
        <w:rPr>
          <w:rFonts w:ascii="AdvPS5962" w:eastAsia="Times New Roman" w:hAnsi="AdvPS5962" w:cs="Times New Roman"/>
          <w:color w:val="000000" w:themeColor="text1"/>
          <w:szCs w:val="24"/>
        </w:rPr>
        <w:t xml:space="preserve">model was used to test the association of predictors of dietary diversity scores among children in the two groups. Model goodness of fit was checked by using the Hosmer and </w:t>
      </w:r>
      <w:proofErr w:type="spellStart"/>
      <w:r w:rsidRPr="00F64ADE">
        <w:rPr>
          <w:rFonts w:ascii="AdvPS5962" w:eastAsia="Times New Roman" w:hAnsi="AdvPS5962" w:cs="Times New Roman"/>
          <w:color w:val="000000" w:themeColor="text1"/>
          <w:szCs w:val="24"/>
        </w:rPr>
        <w:t>Lemeshow</w:t>
      </w:r>
      <w:proofErr w:type="spellEnd"/>
      <w:r w:rsidRPr="00F64ADE">
        <w:rPr>
          <w:rFonts w:ascii="AdvPS5962" w:eastAsia="Times New Roman" w:hAnsi="AdvPS5962" w:cs="Times New Roman"/>
          <w:color w:val="000000" w:themeColor="text1"/>
          <w:szCs w:val="24"/>
        </w:rPr>
        <w:t xml:space="preserve"> goodness of fit test. Finally, variables with P-values &lt;0.05 were considered statistically significant, and the strength of the association was reported using an AOR with the corresponding 95% CI. </w:t>
      </w:r>
    </w:p>
    <w:p w:rsidR="00F64ADE" w:rsidRPr="00F64ADE" w:rsidRDefault="00F64ADE" w:rsidP="00F64ADE">
      <w:pPr>
        <w:rPr>
          <w:rFonts w:ascii="AdvPS5962" w:hAnsi="AdvPS5962" w:cs="Times New Roman"/>
          <w:b/>
          <w:color w:val="000000" w:themeColor="text1"/>
          <w:shd w:val="clear" w:color="auto" w:fill="FFFFFF"/>
        </w:rPr>
      </w:pPr>
      <w:bookmarkStart w:id="22" w:name="_Toc178151326"/>
      <w:r w:rsidRPr="00F64ADE">
        <w:rPr>
          <w:rFonts w:ascii="AdvPS5962" w:hAnsi="AdvPS5962" w:cs="Times New Roman"/>
          <w:b/>
          <w:color w:val="000000" w:themeColor="text1"/>
          <w:shd w:val="clear" w:color="auto" w:fill="FFFFFF"/>
        </w:rPr>
        <w:t>RESULTS</w:t>
      </w:r>
      <w:bookmarkEnd w:id="22"/>
    </w:p>
    <w:p w:rsidR="00F64ADE" w:rsidRPr="00F64ADE" w:rsidRDefault="00F64ADE" w:rsidP="00F64ADE">
      <w:pPr>
        <w:rPr>
          <w:rFonts w:ascii="AdvPS5962" w:hAnsi="AdvPS5962" w:cs="Times New Roman"/>
          <w:b/>
          <w:color w:val="000000" w:themeColor="text1"/>
          <w:shd w:val="clear" w:color="auto" w:fill="FFFFFF"/>
        </w:rPr>
      </w:pPr>
      <w:bookmarkStart w:id="23" w:name="_Toc178151327"/>
      <w:r w:rsidRPr="00F64ADE">
        <w:rPr>
          <w:rFonts w:ascii="AdvPS5962" w:hAnsi="AdvPS5962" w:cs="Times New Roman"/>
          <w:b/>
          <w:color w:val="000000" w:themeColor="text1"/>
          <w:shd w:val="clear" w:color="auto" w:fill="FFFFFF"/>
        </w:rPr>
        <w:t xml:space="preserve">Socio-demographic </w:t>
      </w:r>
      <w:bookmarkEnd w:id="23"/>
      <w:r w:rsidRPr="00F64ADE">
        <w:rPr>
          <w:rFonts w:ascii="AdvPS5962" w:hAnsi="AdvPS5962" w:cs="Times New Roman"/>
          <w:b/>
          <w:color w:val="000000" w:themeColor="text1"/>
          <w:shd w:val="clear" w:color="auto" w:fill="FFFFFF"/>
        </w:rPr>
        <w:t xml:space="preserve">characteristics </w:t>
      </w:r>
    </w:p>
    <w:p w:rsidR="00F64ADE" w:rsidRDefault="00F64ADE" w:rsidP="00F64ADE">
      <w:pPr>
        <w:spacing w:line="360" w:lineRule="auto"/>
        <w:jc w:val="both"/>
        <w:rPr>
          <w:rFonts w:ascii="AdvPS5962" w:eastAsia="Times New Roman" w:hAnsi="AdvPS5962" w:cs="Times New Roman"/>
          <w:color w:val="000000" w:themeColor="text1"/>
          <w:szCs w:val="24"/>
        </w:rPr>
      </w:pPr>
      <w:r w:rsidRPr="00F64ADE">
        <w:rPr>
          <w:rFonts w:ascii="AdvPS5962" w:eastAsia="Times New Roman" w:hAnsi="AdvPS5962" w:cs="Times New Roman"/>
          <w:color w:val="000000" w:themeColor="text1"/>
          <w:szCs w:val="24"/>
        </w:rPr>
        <w:t xml:space="preserve">Of a total of 762 sampled mothers who had children aged 6-59 months, 746 (374 from households with home gardens and 372 from households without home gardens) participated in the study, which provided a response rate of 97.9%. The mean (+SD) age of the mothers in households with home gardens was 28.7 (±4.5) years. Whereas the mothers' mean age (+SD) in households without home gardens was 27.7 (±6.2) years. Most households with home gardens mothers were married (91.7%), compared to 89.5% of households without home gardens’ mothers. About 10% of husbands had no formal education in households with home gardens, and </w:t>
      </w:r>
      <w:r w:rsidRPr="00F64ADE">
        <w:rPr>
          <w:rFonts w:ascii="AdvPS5962" w:eastAsia="Times New Roman" w:hAnsi="AdvPS5962" w:cs="Times New Roman"/>
          <w:color w:val="000000" w:themeColor="text1"/>
          <w:szCs w:val="24"/>
        </w:rPr>
        <w:lastRenderedPageBreak/>
        <w:t>16.2% of husbands from households without home gardens. About 69.1% of husbands were farmers in households with home gardens, while 40.5% of husbands were from homes without a garden (Table 1).</w:t>
      </w:r>
    </w:p>
    <w:p w:rsidR="00F64ADE" w:rsidRDefault="00F64ADE" w:rsidP="00F64ADE">
      <w:pPr>
        <w:spacing w:line="360" w:lineRule="auto"/>
        <w:jc w:val="both"/>
        <w:rPr>
          <w:rFonts w:ascii="AdvPS5962" w:hAnsi="AdvPS5962" w:cs="Times New Roman"/>
          <w:color w:val="000000" w:themeColor="text1"/>
        </w:rPr>
      </w:pPr>
    </w:p>
    <w:p w:rsidR="00F64ADE" w:rsidRDefault="00F64ADE" w:rsidP="00F64ADE">
      <w:pPr>
        <w:spacing w:line="360" w:lineRule="auto"/>
        <w:jc w:val="both"/>
        <w:rPr>
          <w:rFonts w:ascii="AdvPS5962" w:hAnsi="AdvPS5962" w:cs="Times New Roman"/>
          <w:color w:val="000000" w:themeColor="text1"/>
        </w:rPr>
      </w:pPr>
    </w:p>
    <w:p w:rsidR="00F64ADE" w:rsidRDefault="00F64ADE" w:rsidP="00F64ADE">
      <w:pPr>
        <w:spacing w:line="360" w:lineRule="auto"/>
        <w:jc w:val="both"/>
        <w:rPr>
          <w:rFonts w:ascii="AdvPS5962" w:hAnsi="AdvPS5962" w:cs="Times New Roman"/>
          <w:color w:val="000000" w:themeColor="text1"/>
        </w:rPr>
      </w:pPr>
    </w:p>
    <w:p w:rsidR="00F64ADE" w:rsidRDefault="00F64ADE" w:rsidP="00F64ADE">
      <w:pPr>
        <w:pStyle w:val="Table"/>
        <w:rPr>
          <w:color w:val="000000" w:themeColor="text1"/>
          <w:sz w:val="20"/>
        </w:rPr>
        <w:sectPr w:rsidR="00F64ADE" w:rsidSect="00F64ADE">
          <w:type w:val="continuous"/>
          <w:pgSz w:w="12240" w:h="15840"/>
          <w:pgMar w:top="1276" w:right="1183" w:bottom="1440" w:left="1440" w:header="720" w:footer="720" w:gutter="0"/>
          <w:cols w:num="2" w:space="332"/>
          <w:docGrid w:linePitch="360"/>
        </w:sectPr>
      </w:pPr>
    </w:p>
    <w:p w:rsidR="00F64ADE" w:rsidRPr="002306C8" w:rsidRDefault="00F64ADE" w:rsidP="00916490">
      <w:pPr>
        <w:pStyle w:val="Table"/>
        <w:spacing w:after="0"/>
        <w:rPr>
          <w:rFonts w:ascii="AdvPS5962" w:hAnsi="AdvPS5962"/>
          <w:color w:val="000000" w:themeColor="text1"/>
          <w:sz w:val="22"/>
        </w:rPr>
      </w:pPr>
      <w:r w:rsidRPr="002306C8">
        <w:rPr>
          <w:rFonts w:ascii="AdvPS5962" w:hAnsi="AdvPS5962"/>
          <w:color w:val="000000" w:themeColor="text1"/>
          <w:sz w:val="22"/>
        </w:rPr>
        <w:t xml:space="preserve">Table 1: Socio-demographic characteristics of mothers of </w:t>
      </w:r>
      <w:proofErr w:type="spellStart"/>
      <w:r w:rsidRPr="002306C8">
        <w:rPr>
          <w:rFonts w:ascii="AdvPS5962" w:hAnsi="AdvPS5962"/>
          <w:color w:val="000000" w:themeColor="text1"/>
          <w:sz w:val="22"/>
        </w:rPr>
        <w:t>Ginir</w:t>
      </w:r>
      <w:proofErr w:type="spellEnd"/>
      <w:r w:rsidRPr="002306C8">
        <w:rPr>
          <w:rFonts w:ascii="AdvPS5962" w:hAnsi="AdvPS5962"/>
          <w:color w:val="000000" w:themeColor="text1"/>
          <w:sz w:val="22"/>
        </w:rPr>
        <w:t xml:space="preserve"> District from April 2024 to June 2024 (n=</w:t>
      </w:r>
      <w:r w:rsidRPr="002306C8">
        <w:rPr>
          <w:rFonts w:ascii="AdvPS5962" w:eastAsia="Times New Roman" w:hAnsi="AdvPS5962"/>
          <w:color w:val="000000" w:themeColor="text1"/>
          <w:sz w:val="22"/>
        </w:rPr>
        <w:t>746).</w:t>
      </w: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2100"/>
        <w:gridCol w:w="1160"/>
        <w:gridCol w:w="709"/>
        <w:gridCol w:w="1417"/>
        <w:gridCol w:w="1134"/>
      </w:tblGrid>
      <w:tr w:rsidR="00F64ADE" w:rsidRPr="00284938" w:rsidTr="00284938">
        <w:trPr>
          <w:trHeight w:val="64"/>
        </w:trPr>
        <w:tc>
          <w:tcPr>
            <w:tcW w:w="2547" w:type="dxa"/>
            <w:vMerge w:val="restart"/>
            <w:shd w:val="clear" w:color="auto" w:fill="F2F2F2" w:themeFill="background1" w:themeFillShade="F2"/>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b/>
                <w:color w:val="000000" w:themeColor="text1"/>
                <w:sz w:val="18"/>
                <w:szCs w:val="18"/>
              </w:rPr>
              <w:t>Variables</w:t>
            </w:r>
          </w:p>
        </w:tc>
        <w:tc>
          <w:tcPr>
            <w:tcW w:w="2100" w:type="dxa"/>
            <w:vMerge w:val="restart"/>
            <w:shd w:val="clear" w:color="auto" w:fill="F2F2F2" w:themeFill="background1" w:themeFillShade="F2"/>
          </w:tcPr>
          <w:p w:rsidR="00F64ADE" w:rsidRPr="00284938" w:rsidRDefault="00F64ADE" w:rsidP="00916490">
            <w:pPr>
              <w:spacing w:line="240" w:lineRule="auto"/>
              <w:jc w:val="center"/>
              <w:rPr>
                <w:rFonts w:ascii="AdvPS5962" w:hAnsi="AdvPS5962" w:cs="Times New Roman"/>
                <w:b/>
                <w:bCs/>
                <w:color w:val="000000" w:themeColor="text1"/>
                <w:sz w:val="18"/>
                <w:szCs w:val="18"/>
              </w:rPr>
            </w:pPr>
          </w:p>
        </w:tc>
        <w:tc>
          <w:tcPr>
            <w:tcW w:w="1869" w:type="dxa"/>
            <w:gridSpan w:val="2"/>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b/>
                <w:bCs/>
                <w:color w:val="000000" w:themeColor="text1"/>
                <w:sz w:val="18"/>
                <w:szCs w:val="18"/>
              </w:rPr>
              <w:t>HG(n=374)</w:t>
            </w:r>
          </w:p>
        </w:tc>
        <w:tc>
          <w:tcPr>
            <w:tcW w:w="2551" w:type="dxa"/>
            <w:gridSpan w:val="2"/>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b/>
                <w:bCs/>
                <w:color w:val="000000" w:themeColor="text1"/>
                <w:sz w:val="18"/>
                <w:szCs w:val="18"/>
              </w:rPr>
              <w:t>HNG(n=372)</w:t>
            </w:r>
          </w:p>
        </w:tc>
      </w:tr>
      <w:tr w:rsidR="00F64ADE" w:rsidRPr="00284938" w:rsidTr="00284938">
        <w:tc>
          <w:tcPr>
            <w:tcW w:w="2547" w:type="dxa"/>
            <w:vMerge/>
            <w:tcBorders>
              <w:bottom w:val="single" w:sz="4" w:space="0" w:color="auto"/>
            </w:tcBorders>
            <w:shd w:val="clear" w:color="auto" w:fill="F2F2F2" w:themeFill="background1" w:themeFillShade="F2"/>
          </w:tcPr>
          <w:p w:rsidR="00F64ADE" w:rsidRPr="00284938" w:rsidRDefault="00F64ADE" w:rsidP="00916490">
            <w:pPr>
              <w:spacing w:line="240" w:lineRule="auto"/>
              <w:rPr>
                <w:rFonts w:ascii="AdvPS5962" w:hAnsi="AdvPS5962" w:cs="Times New Roman"/>
                <w:color w:val="000000" w:themeColor="text1"/>
                <w:sz w:val="18"/>
                <w:szCs w:val="18"/>
              </w:rPr>
            </w:pPr>
          </w:p>
        </w:tc>
        <w:tc>
          <w:tcPr>
            <w:tcW w:w="2100" w:type="dxa"/>
            <w:vMerge/>
            <w:tcBorders>
              <w:bottom w:val="single" w:sz="4" w:space="0" w:color="auto"/>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p>
        </w:tc>
        <w:tc>
          <w:tcPr>
            <w:tcW w:w="1160" w:type="dxa"/>
            <w:tcBorders>
              <w:bottom w:val="single" w:sz="4" w:space="0" w:color="auto"/>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b/>
                <w:color w:val="000000" w:themeColor="text1"/>
                <w:sz w:val="18"/>
                <w:szCs w:val="18"/>
              </w:rPr>
            </w:pPr>
            <w:r w:rsidRPr="00284938">
              <w:rPr>
                <w:rFonts w:ascii="AdvPS5962" w:hAnsi="AdvPS5962" w:cs="Times New Roman"/>
                <w:color w:val="000000" w:themeColor="text1"/>
                <w:sz w:val="18"/>
                <w:szCs w:val="18"/>
              </w:rPr>
              <w:t>Frequency</w:t>
            </w:r>
          </w:p>
        </w:tc>
        <w:tc>
          <w:tcPr>
            <w:tcW w:w="709" w:type="dxa"/>
            <w:tcBorders>
              <w:bottom w:val="single" w:sz="4" w:space="0" w:color="auto"/>
            </w:tcBorders>
            <w:shd w:val="clear" w:color="auto" w:fill="F2F2F2" w:themeFill="background1" w:themeFillShade="F2"/>
          </w:tcPr>
          <w:p w:rsidR="00F64ADE" w:rsidRPr="00284938" w:rsidRDefault="00F64ADE" w:rsidP="00916490">
            <w:pPr>
              <w:spacing w:line="240" w:lineRule="auto"/>
              <w:ind w:left="27"/>
              <w:jc w:val="center"/>
              <w:rPr>
                <w:rFonts w:ascii="AdvPS5962" w:hAnsi="AdvPS5962" w:cs="Times New Roman"/>
                <w:b/>
                <w:color w:val="000000" w:themeColor="text1"/>
                <w:sz w:val="18"/>
                <w:szCs w:val="18"/>
              </w:rPr>
            </w:pPr>
            <w:r w:rsidRPr="00284938">
              <w:rPr>
                <w:rFonts w:ascii="AdvPS5962" w:hAnsi="AdvPS5962" w:cs="Times New Roman"/>
                <w:color w:val="000000" w:themeColor="text1"/>
                <w:sz w:val="18"/>
                <w:szCs w:val="18"/>
              </w:rPr>
              <w:t>%</w:t>
            </w:r>
          </w:p>
        </w:tc>
        <w:tc>
          <w:tcPr>
            <w:tcW w:w="1417" w:type="dxa"/>
            <w:tcBorders>
              <w:bottom w:val="single" w:sz="4" w:space="0" w:color="auto"/>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b/>
                <w:color w:val="000000" w:themeColor="text1"/>
                <w:sz w:val="18"/>
                <w:szCs w:val="18"/>
              </w:rPr>
            </w:pPr>
            <w:r w:rsidRPr="00284938">
              <w:rPr>
                <w:rFonts w:ascii="AdvPS5962" w:hAnsi="AdvPS5962" w:cs="Times New Roman"/>
                <w:color w:val="000000" w:themeColor="text1"/>
                <w:sz w:val="18"/>
                <w:szCs w:val="18"/>
              </w:rPr>
              <w:t>Frequency</w:t>
            </w:r>
          </w:p>
        </w:tc>
        <w:tc>
          <w:tcPr>
            <w:tcW w:w="1134" w:type="dxa"/>
            <w:tcBorders>
              <w:bottom w:val="single" w:sz="4" w:space="0" w:color="auto"/>
            </w:tcBorders>
            <w:shd w:val="clear" w:color="auto" w:fill="F2F2F2" w:themeFill="background1" w:themeFillShade="F2"/>
          </w:tcPr>
          <w:p w:rsidR="00F64ADE" w:rsidRPr="00284938" w:rsidRDefault="00F64ADE" w:rsidP="00916490">
            <w:pPr>
              <w:spacing w:line="240" w:lineRule="auto"/>
              <w:ind w:left="267"/>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w:t>
            </w:r>
          </w:p>
        </w:tc>
      </w:tr>
      <w:tr w:rsidR="00F64ADE" w:rsidRPr="00284938" w:rsidTr="00284938">
        <w:trPr>
          <w:trHeight w:val="247"/>
        </w:trPr>
        <w:tc>
          <w:tcPr>
            <w:tcW w:w="2547" w:type="dxa"/>
            <w:tcBorders>
              <w:bottom w:val="nil"/>
            </w:tcBorders>
          </w:tcPr>
          <w:p w:rsidR="00F64ADE" w:rsidRPr="00284938" w:rsidRDefault="00F64ADE" w:rsidP="00916490">
            <w:pPr>
              <w:spacing w:line="240" w:lineRule="auto"/>
              <w:jc w:val="both"/>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Age of mothers in years</w:t>
            </w:r>
          </w:p>
        </w:tc>
        <w:tc>
          <w:tcPr>
            <w:tcW w:w="2100" w:type="dxa"/>
            <w:tcBorders>
              <w:bottom w:val="nil"/>
            </w:tcBorders>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15-24</w:t>
            </w:r>
          </w:p>
        </w:tc>
        <w:tc>
          <w:tcPr>
            <w:tcW w:w="1160" w:type="dxa"/>
            <w:tcBorders>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90</w:t>
            </w:r>
          </w:p>
        </w:tc>
        <w:tc>
          <w:tcPr>
            <w:tcW w:w="709" w:type="dxa"/>
            <w:tcBorders>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24.1</w:t>
            </w:r>
          </w:p>
        </w:tc>
        <w:tc>
          <w:tcPr>
            <w:tcW w:w="1417" w:type="dxa"/>
            <w:tcBorders>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115</w:t>
            </w:r>
          </w:p>
        </w:tc>
        <w:tc>
          <w:tcPr>
            <w:tcW w:w="1134" w:type="dxa"/>
            <w:tcBorders>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30.9</w:t>
            </w:r>
          </w:p>
        </w:tc>
      </w:tr>
      <w:tr w:rsidR="00F64ADE" w:rsidRPr="00284938" w:rsidTr="00284938">
        <w:tc>
          <w:tcPr>
            <w:tcW w:w="2547" w:type="dxa"/>
            <w:tcBorders>
              <w:top w:val="nil"/>
              <w:bottom w:val="nil"/>
            </w:tcBorders>
          </w:tcPr>
          <w:p w:rsidR="00F64ADE" w:rsidRPr="00284938" w:rsidRDefault="00F64ADE" w:rsidP="00916490">
            <w:pPr>
              <w:spacing w:line="240" w:lineRule="auto"/>
              <w:jc w:val="both"/>
              <w:rPr>
                <w:rFonts w:ascii="AdvPS5962" w:hAnsi="AdvPS5962" w:cs="Times New Roman"/>
                <w:color w:val="000000" w:themeColor="text1"/>
                <w:sz w:val="18"/>
                <w:szCs w:val="18"/>
              </w:rPr>
            </w:pPr>
          </w:p>
        </w:tc>
        <w:tc>
          <w:tcPr>
            <w:tcW w:w="2100" w:type="dxa"/>
            <w:tcBorders>
              <w:top w:val="nil"/>
              <w:bottom w:val="nil"/>
            </w:tcBorders>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25-34</w:t>
            </w:r>
          </w:p>
        </w:tc>
        <w:tc>
          <w:tcPr>
            <w:tcW w:w="1160"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253</w:t>
            </w:r>
          </w:p>
        </w:tc>
        <w:tc>
          <w:tcPr>
            <w:tcW w:w="709"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67.6</w:t>
            </w:r>
          </w:p>
        </w:tc>
        <w:tc>
          <w:tcPr>
            <w:tcW w:w="1417"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187</w:t>
            </w:r>
          </w:p>
        </w:tc>
        <w:tc>
          <w:tcPr>
            <w:tcW w:w="1134"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50.3</w:t>
            </w:r>
          </w:p>
        </w:tc>
      </w:tr>
      <w:tr w:rsidR="00F64ADE" w:rsidRPr="00284938" w:rsidTr="00284938">
        <w:tc>
          <w:tcPr>
            <w:tcW w:w="2547" w:type="dxa"/>
            <w:tcBorders>
              <w:top w:val="nil"/>
              <w:bottom w:val="nil"/>
            </w:tcBorders>
          </w:tcPr>
          <w:p w:rsidR="00F64ADE" w:rsidRPr="00284938" w:rsidRDefault="00F64ADE" w:rsidP="00916490">
            <w:pPr>
              <w:spacing w:line="240" w:lineRule="auto"/>
              <w:jc w:val="both"/>
              <w:rPr>
                <w:rFonts w:ascii="AdvPS5962" w:hAnsi="AdvPS5962" w:cs="Times New Roman"/>
                <w:color w:val="000000" w:themeColor="text1"/>
                <w:sz w:val="18"/>
                <w:szCs w:val="18"/>
              </w:rPr>
            </w:pPr>
          </w:p>
        </w:tc>
        <w:tc>
          <w:tcPr>
            <w:tcW w:w="2100" w:type="dxa"/>
            <w:tcBorders>
              <w:top w:val="nil"/>
              <w:bottom w:val="nil"/>
            </w:tcBorders>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&gt;35</w:t>
            </w:r>
          </w:p>
        </w:tc>
        <w:tc>
          <w:tcPr>
            <w:tcW w:w="1160"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31</w:t>
            </w:r>
          </w:p>
        </w:tc>
        <w:tc>
          <w:tcPr>
            <w:tcW w:w="709"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8.3</w:t>
            </w:r>
          </w:p>
        </w:tc>
        <w:tc>
          <w:tcPr>
            <w:tcW w:w="1417"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70</w:t>
            </w:r>
          </w:p>
        </w:tc>
        <w:tc>
          <w:tcPr>
            <w:tcW w:w="1134" w:type="dxa"/>
            <w:tcBorders>
              <w:top w:val="nil"/>
              <w:bottom w:val="nil"/>
            </w:tcBorders>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18.8</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spacing w:line="240" w:lineRule="auto"/>
              <w:jc w:val="both"/>
              <w:rPr>
                <w:rFonts w:ascii="AdvPS5962" w:hAnsi="AdvPS5962" w:cs="Times New Roman"/>
                <w:color w:val="000000" w:themeColor="text1"/>
                <w:sz w:val="18"/>
                <w:szCs w:val="18"/>
              </w:rPr>
            </w:pPr>
            <w:r w:rsidRPr="00284938">
              <w:rPr>
                <w:rFonts w:ascii="AdvPS5962" w:hAnsi="AdvPS5962" w:cs="Times New Roman"/>
                <w:bCs/>
                <w:color w:val="000000" w:themeColor="text1"/>
                <w:sz w:val="18"/>
                <w:szCs w:val="18"/>
              </w:rPr>
              <w:t>Marital status of the mother</w:t>
            </w:r>
          </w:p>
        </w:tc>
        <w:tc>
          <w:tcPr>
            <w:tcW w:w="2100" w:type="dxa"/>
            <w:tcBorders>
              <w:top w:val="nil"/>
              <w:bottom w:val="nil"/>
            </w:tcBorders>
            <w:shd w:val="clear" w:color="auto" w:fill="F2F2F2" w:themeFill="background1" w:themeFillShade="F2"/>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Unmarried</w:t>
            </w:r>
          </w:p>
        </w:tc>
        <w:tc>
          <w:tcPr>
            <w:tcW w:w="1160"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31</w:t>
            </w:r>
          </w:p>
        </w:tc>
        <w:tc>
          <w:tcPr>
            <w:tcW w:w="709"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8.3</w:t>
            </w:r>
          </w:p>
        </w:tc>
        <w:tc>
          <w:tcPr>
            <w:tcW w:w="1417"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39</w:t>
            </w:r>
          </w:p>
        </w:tc>
        <w:tc>
          <w:tcPr>
            <w:tcW w:w="1134"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10.5</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spacing w:line="240" w:lineRule="auto"/>
              <w:jc w:val="both"/>
              <w:rPr>
                <w:rFonts w:ascii="AdvPS5962"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spacing w:line="240" w:lineRule="auto"/>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 xml:space="preserve"> Married </w:t>
            </w:r>
          </w:p>
        </w:tc>
        <w:tc>
          <w:tcPr>
            <w:tcW w:w="1160"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343</w:t>
            </w:r>
          </w:p>
        </w:tc>
        <w:tc>
          <w:tcPr>
            <w:tcW w:w="709" w:type="dxa"/>
            <w:tcBorders>
              <w:top w:val="nil"/>
              <w:bottom w:val="nil"/>
            </w:tcBorders>
            <w:shd w:val="clear" w:color="auto" w:fill="F2F2F2" w:themeFill="background1" w:themeFillShade="F2"/>
          </w:tcPr>
          <w:p w:rsidR="00F64ADE" w:rsidRPr="00284938" w:rsidRDefault="00F64ADE" w:rsidP="00916490">
            <w:pPr>
              <w:spacing w:line="240" w:lineRule="auto"/>
              <w:ind w:left="19"/>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91.7</w:t>
            </w:r>
          </w:p>
        </w:tc>
        <w:tc>
          <w:tcPr>
            <w:tcW w:w="1417" w:type="dxa"/>
            <w:tcBorders>
              <w:top w:val="nil"/>
              <w:bottom w:val="nil"/>
            </w:tcBorders>
            <w:shd w:val="clear" w:color="auto" w:fill="F2F2F2" w:themeFill="background1" w:themeFillShade="F2"/>
          </w:tcPr>
          <w:p w:rsidR="00F64ADE" w:rsidRPr="00284938" w:rsidRDefault="00F64ADE" w:rsidP="00916490">
            <w:pPr>
              <w:spacing w:line="240" w:lineRule="auto"/>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333</w:t>
            </w:r>
          </w:p>
        </w:tc>
        <w:tc>
          <w:tcPr>
            <w:tcW w:w="1134" w:type="dxa"/>
            <w:tcBorders>
              <w:top w:val="nil"/>
              <w:bottom w:val="nil"/>
            </w:tcBorders>
            <w:shd w:val="clear" w:color="auto" w:fill="F2F2F2" w:themeFill="background1" w:themeFillShade="F2"/>
          </w:tcPr>
          <w:p w:rsidR="00F64ADE" w:rsidRPr="00284938" w:rsidRDefault="00F64ADE" w:rsidP="00916490">
            <w:pPr>
              <w:spacing w:line="240" w:lineRule="auto"/>
              <w:ind w:left="19"/>
              <w:jc w:val="center"/>
              <w:rPr>
                <w:rFonts w:ascii="AdvPS5962" w:hAnsi="AdvPS5962" w:cs="Times New Roman"/>
                <w:color w:val="000000" w:themeColor="text1"/>
                <w:sz w:val="18"/>
                <w:szCs w:val="18"/>
              </w:rPr>
            </w:pPr>
            <w:r w:rsidRPr="00284938">
              <w:rPr>
                <w:rFonts w:ascii="AdvPS5962" w:hAnsi="AdvPS5962" w:cs="Times New Roman"/>
                <w:color w:val="000000" w:themeColor="text1"/>
                <w:sz w:val="18"/>
                <w:szCs w:val="18"/>
              </w:rPr>
              <w:t>89.5</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jc w:val="both"/>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Husband's educational status</w:t>
            </w: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No formal education</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34</w:t>
            </w:r>
          </w:p>
        </w:tc>
        <w:tc>
          <w:tcPr>
            <w:tcW w:w="709" w:type="dxa"/>
            <w:tcBorders>
              <w:top w:val="nil"/>
              <w:bottom w:val="nil"/>
            </w:tcBorders>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9.9</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16.2</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jc w:val="both"/>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Able to read and write</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160</w:t>
            </w:r>
          </w:p>
        </w:tc>
        <w:tc>
          <w:tcPr>
            <w:tcW w:w="709" w:type="dxa"/>
            <w:tcBorders>
              <w:top w:val="nil"/>
              <w:bottom w:val="nil"/>
            </w:tcBorders>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46.6</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104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31.2</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Elementary school</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74</w:t>
            </w:r>
          </w:p>
        </w:tc>
        <w:tc>
          <w:tcPr>
            <w:tcW w:w="709" w:type="dxa"/>
            <w:tcBorders>
              <w:top w:val="nil"/>
              <w:bottom w:val="nil"/>
            </w:tcBorders>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21.6</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13.2</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High school</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30</w:t>
            </w:r>
          </w:p>
        </w:tc>
        <w:tc>
          <w:tcPr>
            <w:tcW w:w="709" w:type="dxa"/>
            <w:tcBorders>
              <w:top w:val="nil"/>
              <w:bottom w:val="nil"/>
            </w:tcBorders>
          </w:tcPr>
          <w:p w:rsidR="00F64ADE" w:rsidRPr="00284938" w:rsidRDefault="00F64ADE" w:rsidP="00916490">
            <w:pPr>
              <w:autoSpaceDE w:val="0"/>
              <w:autoSpaceDN w:val="0"/>
              <w:adjustRightInd w:val="0"/>
              <w:spacing w:line="240" w:lineRule="auto"/>
              <w:ind w:left="66"/>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8.7</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57</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17.1</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College and above</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45</w:t>
            </w:r>
          </w:p>
        </w:tc>
        <w:tc>
          <w:tcPr>
            <w:tcW w:w="709" w:type="dxa"/>
            <w:tcBorders>
              <w:top w:val="nil"/>
              <w:bottom w:val="nil"/>
            </w:tcBorders>
          </w:tcPr>
          <w:p w:rsidR="00F64ADE" w:rsidRPr="00284938" w:rsidRDefault="00F64ADE" w:rsidP="00916490">
            <w:pPr>
              <w:autoSpaceDE w:val="0"/>
              <w:autoSpaceDN w:val="0"/>
              <w:adjustRightInd w:val="0"/>
              <w:spacing w:line="240" w:lineRule="auto"/>
              <w:ind w:left="66"/>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13.1</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74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22.2</w:t>
            </w:r>
          </w:p>
        </w:tc>
      </w:tr>
      <w:tr w:rsidR="00F64ADE" w:rsidRPr="00284938" w:rsidTr="00284938">
        <w:trPr>
          <w:trHeight w:val="177"/>
        </w:trPr>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Husband occupational</w:t>
            </w: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Farmer</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237</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69.1</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135</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40.5</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Merchant</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39</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11.4</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56</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16.8</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Private employee</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22</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66"/>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6.4</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47</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14.1</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Government employee</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45</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13.1</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95</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28.5</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Educational level of Mother</w:t>
            </w: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No formal education</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58</w:t>
            </w:r>
          </w:p>
        </w:tc>
        <w:tc>
          <w:tcPr>
            <w:tcW w:w="709" w:type="dxa"/>
            <w:tcBorders>
              <w:top w:val="nil"/>
              <w:bottom w:val="nil"/>
            </w:tcBorders>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15.5</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14.5</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Able to read and write</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117</w:t>
            </w:r>
          </w:p>
        </w:tc>
        <w:tc>
          <w:tcPr>
            <w:tcW w:w="709" w:type="dxa"/>
            <w:tcBorders>
              <w:top w:val="nil"/>
              <w:bottom w:val="nil"/>
            </w:tcBorders>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31.3</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103</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27.7</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Elementary</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77</w:t>
            </w:r>
          </w:p>
        </w:tc>
        <w:tc>
          <w:tcPr>
            <w:tcW w:w="709"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20.6</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95</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25.5</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High school</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81</w:t>
            </w:r>
          </w:p>
        </w:tc>
        <w:tc>
          <w:tcPr>
            <w:tcW w:w="709"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21.7</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83</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22.3</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w:t>
            </w: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College and above</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41</w:t>
            </w:r>
          </w:p>
        </w:tc>
        <w:tc>
          <w:tcPr>
            <w:tcW w:w="709"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11.0</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37</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9.9</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Occupation of the mother</w:t>
            </w: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Housewife</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277</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74.1</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211</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56.7</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Farmer</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38</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10.2</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39</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10.5</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Private employee</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23</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6.1</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8.3</w:t>
            </w:r>
          </w:p>
        </w:tc>
      </w:tr>
      <w:tr w:rsidR="00F64ADE" w:rsidRPr="00284938" w:rsidTr="00284938">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Government employee</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36</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9.6</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91</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24.5</w:t>
            </w:r>
          </w:p>
        </w:tc>
      </w:tr>
      <w:tr w:rsidR="00F64ADE" w:rsidRPr="00284938" w:rsidTr="00284938">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Family size</w:t>
            </w: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&lt;4</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118</w:t>
            </w:r>
          </w:p>
        </w:tc>
        <w:tc>
          <w:tcPr>
            <w:tcW w:w="709" w:type="dxa"/>
            <w:tcBorders>
              <w:top w:val="nil"/>
              <w:bottom w:val="nil"/>
            </w:tcBorders>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31.6</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199</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53.5</w:t>
            </w:r>
          </w:p>
        </w:tc>
      </w:tr>
      <w:tr w:rsidR="00F64ADE" w:rsidRPr="00284938" w:rsidTr="00284938">
        <w:trPr>
          <w:trHeight w:val="240"/>
        </w:trPr>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4</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256</w:t>
            </w:r>
          </w:p>
        </w:tc>
        <w:tc>
          <w:tcPr>
            <w:tcW w:w="709" w:type="dxa"/>
            <w:tcBorders>
              <w:top w:val="nil"/>
              <w:bottom w:val="nil"/>
            </w:tcBorders>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68.4</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173</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46.5</w:t>
            </w:r>
          </w:p>
        </w:tc>
      </w:tr>
      <w:tr w:rsidR="00F64ADE" w:rsidRPr="00284938" w:rsidTr="00284938">
        <w:trPr>
          <w:trHeight w:val="255"/>
        </w:trPr>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lastRenderedPageBreak/>
              <w:t xml:space="preserve"> Number of children</w:t>
            </w: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&lt;3</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310</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34"/>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82.9</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310</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83.3</w:t>
            </w:r>
          </w:p>
        </w:tc>
      </w:tr>
      <w:tr w:rsidR="00F64ADE" w:rsidRPr="00284938" w:rsidTr="00284938">
        <w:trPr>
          <w:trHeight w:val="225"/>
        </w:trPr>
        <w:tc>
          <w:tcPr>
            <w:tcW w:w="254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≥3</w:t>
            </w:r>
          </w:p>
        </w:tc>
        <w:tc>
          <w:tcPr>
            <w:tcW w:w="1160"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64</w:t>
            </w:r>
          </w:p>
        </w:tc>
        <w:tc>
          <w:tcPr>
            <w:tcW w:w="709"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17.1</w:t>
            </w:r>
          </w:p>
        </w:tc>
        <w:tc>
          <w:tcPr>
            <w:tcW w:w="1417"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62</w:t>
            </w:r>
          </w:p>
        </w:tc>
        <w:tc>
          <w:tcPr>
            <w:tcW w:w="1134" w:type="dxa"/>
            <w:tcBorders>
              <w:top w:val="nil"/>
              <w:bottom w:val="nil"/>
            </w:tcBorders>
            <w:shd w:val="clear" w:color="auto" w:fill="F2F2F2" w:themeFill="background1" w:themeFillShade="F2"/>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16.7</w:t>
            </w:r>
          </w:p>
        </w:tc>
      </w:tr>
      <w:tr w:rsidR="00F64ADE" w:rsidRPr="00284938" w:rsidTr="00284938">
        <w:trPr>
          <w:trHeight w:val="330"/>
        </w:trPr>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Wealth index</w:t>
            </w: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Poor</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112</w:t>
            </w:r>
          </w:p>
        </w:tc>
        <w:tc>
          <w:tcPr>
            <w:tcW w:w="709" w:type="dxa"/>
            <w:tcBorders>
              <w:top w:val="nil"/>
              <w:bottom w:val="nil"/>
            </w:tcBorders>
          </w:tcPr>
          <w:p w:rsidR="00F64ADE" w:rsidRPr="00284938" w:rsidRDefault="00F64ADE" w:rsidP="00916490">
            <w:pPr>
              <w:autoSpaceDE w:val="0"/>
              <w:autoSpaceDN w:val="0"/>
              <w:adjustRightInd w:val="0"/>
              <w:spacing w:line="240" w:lineRule="auto"/>
              <w:ind w:left="2"/>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29.9</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187</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50.3</w:t>
            </w:r>
          </w:p>
        </w:tc>
      </w:tr>
      <w:tr w:rsidR="00F64ADE" w:rsidRPr="00284938" w:rsidTr="00284938">
        <w:trPr>
          <w:trHeight w:val="296"/>
        </w:trPr>
        <w:tc>
          <w:tcPr>
            <w:tcW w:w="2547"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bottom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Medium</w:t>
            </w:r>
          </w:p>
        </w:tc>
        <w:tc>
          <w:tcPr>
            <w:tcW w:w="1160"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93</w:t>
            </w:r>
          </w:p>
        </w:tc>
        <w:tc>
          <w:tcPr>
            <w:tcW w:w="709"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24.9</w:t>
            </w:r>
          </w:p>
        </w:tc>
        <w:tc>
          <w:tcPr>
            <w:tcW w:w="1417"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64</w:t>
            </w:r>
          </w:p>
        </w:tc>
        <w:tc>
          <w:tcPr>
            <w:tcW w:w="1134" w:type="dxa"/>
            <w:tcBorders>
              <w:top w:val="nil"/>
              <w:bottom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17.2</w:t>
            </w:r>
          </w:p>
        </w:tc>
      </w:tr>
      <w:tr w:rsidR="00F64ADE" w:rsidRPr="00284938" w:rsidTr="00284938">
        <w:trPr>
          <w:trHeight w:val="152"/>
        </w:trPr>
        <w:tc>
          <w:tcPr>
            <w:tcW w:w="2547" w:type="dxa"/>
            <w:tcBorders>
              <w:top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p>
        </w:tc>
        <w:tc>
          <w:tcPr>
            <w:tcW w:w="2100" w:type="dxa"/>
            <w:tcBorders>
              <w:top w:val="nil"/>
            </w:tcBorders>
          </w:tcPr>
          <w:p w:rsidR="00F64ADE" w:rsidRPr="00284938" w:rsidRDefault="00F64ADE" w:rsidP="00916490">
            <w:pPr>
              <w:autoSpaceDE w:val="0"/>
              <w:autoSpaceDN w:val="0"/>
              <w:adjustRightInd w:val="0"/>
              <w:spacing w:line="240" w:lineRule="auto"/>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 xml:space="preserve"> Rich</w:t>
            </w:r>
          </w:p>
        </w:tc>
        <w:tc>
          <w:tcPr>
            <w:tcW w:w="1160" w:type="dxa"/>
            <w:tcBorders>
              <w:top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169</w:t>
            </w:r>
          </w:p>
        </w:tc>
        <w:tc>
          <w:tcPr>
            <w:tcW w:w="709" w:type="dxa"/>
            <w:tcBorders>
              <w:top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45.2</w:t>
            </w:r>
          </w:p>
        </w:tc>
        <w:tc>
          <w:tcPr>
            <w:tcW w:w="1417" w:type="dxa"/>
            <w:tcBorders>
              <w:top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121</w:t>
            </w:r>
          </w:p>
        </w:tc>
        <w:tc>
          <w:tcPr>
            <w:tcW w:w="1134" w:type="dxa"/>
            <w:tcBorders>
              <w:top w:val="nil"/>
            </w:tcBorders>
          </w:tcPr>
          <w:p w:rsidR="00F64ADE" w:rsidRPr="00284938" w:rsidRDefault="00F64ADE" w:rsidP="00916490">
            <w:pPr>
              <w:autoSpaceDE w:val="0"/>
              <w:autoSpaceDN w:val="0"/>
              <w:adjustRightInd w:val="0"/>
              <w:spacing w:line="240" w:lineRule="auto"/>
              <w:jc w:val="center"/>
              <w:rPr>
                <w:rFonts w:ascii="AdvPS5962" w:eastAsia="Times New Roman" w:hAnsi="AdvPS5962" w:cs="Times New Roman"/>
                <w:color w:val="000000" w:themeColor="text1"/>
                <w:sz w:val="18"/>
                <w:szCs w:val="18"/>
              </w:rPr>
            </w:pPr>
            <w:r w:rsidRPr="00284938">
              <w:rPr>
                <w:rFonts w:ascii="AdvPS5962" w:eastAsia="Times New Roman" w:hAnsi="AdvPS5962" w:cs="Times New Roman"/>
                <w:color w:val="000000" w:themeColor="text1"/>
                <w:sz w:val="18"/>
                <w:szCs w:val="18"/>
              </w:rPr>
              <w:t>32.5</w:t>
            </w:r>
          </w:p>
        </w:tc>
      </w:tr>
    </w:tbl>
    <w:p w:rsidR="00F64ADE" w:rsidRPr="00135F2C" w:rsidRDefault="00F64ADE" w:rsidP="00F64ADE">
      <w:pPr>
        <w:pStyle w:val="NoSpacing"/>
        <w:rPr>
          <w:rFonts w:ascii="AdvPS5962" w:hAnsi="AdvPS5962" w:cs="Times New Roman"/>
          <w:i/>
          <w:color w:val="000000" w:themeColor="text1"/>
        </w:rPr>
        <w:sectPr w:rsidR="00F64ADE" w:rsidRPr="00135F2C" w:rsidSect="00F64ADE">
          <w:type w:val="continuous"/>
          <w:pgSz w:w="12240" w:h="15840"/>
          <w:pgMar w:top="1276" w:right="1183" w:bottom="1440" w:left="1440" w:header="720" w:footer="720" w:gutter="0"/>
          <w:cols w:space="332"/>
          <w:docGrid w:linePitch="360"/>
        </w:sectPr>
      </w:pPr>
    </w:p>
    <w:p w:rsidR="00F64ADE" w:rsidRPr="00135F2C" w:rsidRDefault="00F64ADE" w:rsidP="00135F2C">
      <w:pPr>
        <w:pStyle w:val="NoSpacing"/>
        <w:rPr>
          <w:rFonts w:ascii="AdvPS5962" w:hAnsi="AdvPS5962" w:cs="Times New Roman"/>
          <w:i/>
          <w:color w:val="000000" w:themeColor="text1"/>
          <w:sz w:val="18"/>
          <w:szCs w:val="16"/>
        </w:rPr>
      </w:pPr>
      <w:r w:rsidRPr="00135F2C">
        <w:rPr>
          <w:rFonts w:ascii="AdvPS5962" w:hAnsi="AdvPS5962" w:cs="Times New Roman"/>
          <w:i/>
          <w:color w:val="000000" w:themeColor="text1"/>
          <w:sz w:val="18"/>
          <w:szCs w:val="16"/>
        </w:rPr>
        <w:t>HG</w:t>
      </w:r>
      <w:r w:rsidR="00135F2C" w:rsidRPr="00135F2C">
        <w:rPr>
          <w:rFonts w:ascii="AdvPS5962" w:hAnsi="AdvPS5962" w:cs="Times New Roman"/>
          <w:i/>
          <w:color w:val="000000" w:themeColor="text1"/>
          <w:sz w:val="18"/>
          <w:szCs w:val="16"/>
        </w:rPr>
        <w:t>-</w:t>
      </w:r>
      <w:r w:rsidRPr="00135F2C">
        <w:rPr>
          <w:rFonts w:ascii="AdvPS5962" w:hAnsi="AdvPS5962" w:cs="Times New Roman"/>
          <w:i/>
          <w:color w:val="000000" w:themeColor="text1"/>
          <w:sz w:val="18"/>
          <w:szCs w:val="16"/>
        </w:rPr>
        <w:t xml:space="preserve"> households with home gardens, HNG</w:t>
      </w:r>
      <w:r w:rsidR="00135F2C" w:rsidRPr="00135F2C">
        <w:rPr>
          <w:rFonts w:ascii="AdvPS5962" w:hAnsi="AdvPS5962" w:cs="Times New Roman"/>
          <w:i/>
          <w:color w:val="000000" w:themeColor="text1"/>
          <w:sz w:val="18"/>
          <w:szCs w:val="16"/>
        </w:rPr>
        <w:t>-</w:t>
      </w:r>
      <w:r w:rsidRPr="00135F2C">
        <w:rPr>
          <w:rFonts w:ascii="AdvPS5962" w:hAnsi="AdvPS5962" w:cs="Times New Roman"/>
          <w:i/>
          <w:color w:val="000000" w:themeColor="text1"/>
          <w:sz w:val="18"/>
          <w:szCs w:val="16"/>
        </w:rPr>
        <w:t>households without home gardens</w:t>
      </w:r>
    </w:p>
    <w:p w:rsidR="00916490" w:rsidRPr="002306C8" w:rsidRDefault="00916490" w:rsidP="00135F2C">
      <w:pPr>
        <w:spacing w:after="0" w:line="240" w:lineRule="auto"/>
        <w:jc w:val="both"/>
        <w:rPr>
          <w:rFonts w:ascii="AdvPS5962" w:hAnsi="AdvPS5962" w:cs="Times New Roman"/>
          <w:color w:val="000000" w:themeColor="text1"/>
        </w:rPr>
        <w:sectPr w:rsidR="00916490" w:rsidRPr="002306C8" w:rsidSect="00916490">
          <w:type w:val="continuous"/>
          <w:pgSz w:w="12240" w:h="15840"/>
          <w:pgMar w:top="1276" w:right="1183" w:bottom="1440" w:left="1440" w:header="720" w:footer="720" w:gutter="0"/>
          <w:cols w:space="332"/>
          <w:docGrid w:linePitch="360"/>
        </w:sectPr>
      </w:pPr>
    </w:p>
    <w:p w:rsidR="002306C8" w:rsidRPr="002306C8" w:rsidRDefault="002306C8" w:rsidP="002306C8">
      <w:pPr>
        <w:pStyle w:val="NoSpacing"/>
        <w:spacing w:before="120" w:after="120"/>
        <w:rPr>
          <w:rFonts w:ascii="AdvPS5962" w:eastAsia="Times New Roman" w:hAnsi="AdvPS5962" w:cs="Times New Roman"/>
          <w:b/>
          <w:color w:val="000000" w:themeColor="text1"/>
          <w:lang w:eastAsia="fr-FR"/>
        </w:rPr>
      </w:pPr>
      <w:r w:rsidRPr="002306C8">
        <w:rPr>
          <w:rFonts w:ascii="AdvPS5962" w:eastAsia="Times New Roman" w:hAnsi="AdvPS5962" w:cs="Times New Roman"/>
          <w:b/>
          <w:color w:val="000000" w:themeColor="text1"/>
          <w:lang w:eastAsia="fr-FR"/>
        </w:rPr>
        <w:t>Maternal-related factors</w:t>
      </w:r>
    </w:p>
    <w:p w:rsidR="002306C8" w:rsidRPr="002306C8" w:rsidRDefault="002306C8" w:rsidP="002306C8">
      <w:pPr>
        <w:pStyle w:val="NormalWeb"/>
        <w:spacing w:before="120" w:beforeAutospacing="0" w:after="120" w:afterAutospacing="0" w:line="360" w:lineRule="auto"/>
        <w:jc w:val="both"/>
        <w:rPr>
          <w:rFonts w:ascii="AdvPS5962" w:hAnsi="AdvPS5962"/>
          <w:color w:val="000000" w:themeColor="text1"/>
          <w:sz w:val="22"/>
          <w:szCs w:val="22"/>
        </w:rPr>
        <w:sectPr w:rsidR="002306C8" w:rsidRPr="002306C8" w:rsidSect="002306C8">
          <w:type w:val="continuous"/>
          <w:pgSz w:w="12240" w:h="15840"/>
          <w:pgMar w:top="1276" w:right="1183" w:bottom="1440" w:left="1440" w:header="720" w:footer="720" w:gutter="0"/>
          <w:cols w:num="2" w:space="332"/>
          <w:docGrid w:linePitch="360"/>
        </w:sectPr>
      </w:pPr>
      <w:r w:rsidRPr="002306C8">
        <w:rPr>
          <w:rFonts w:ascii="AdvPS5962" w:hAnsi="AdvPS5962"/>
          <w:color w:val="000000" w:themeColor="text1"/>
          <w:sz w:val="22"/>
          <w:szCs w:val="22"/>
        </w:rPr>
        <w:t xml:space="preserve">Table 2 shows maternal-related factors. Of the total mothers who were from households with </w:t>
      </w:r>
      <w:r w:rsidRPr="002306C8">
        <w:rPr>
          <w:rFonts w:ascii="AdvPS5962" w:hAnsi="AdvPS5962"/>
          <w:color w:val="000000" w:themeColor="text1"/>
          <w:sz w:val="22"/>
          <w:szCs w:val="22"/>
        </w:rPr>
        <w:t xml:space="preserve">home gardens, 90.6% were followed antenatal care </w:t>
      </w:r>
      <w:r w:rsidRPr="002306C8">
        <w:rPr>
          <w:rFonts w:ascii="AdvPS5962" w:eastAsia="Calibri" w:hAnsi="AdvPS5962"/>
          <w:color w:val="000000" w:themeColor="text1"/>
          <w:sz w:val="22"/>
          <w:szCs w:val="22"/>
        </w:rPr>
        <w:t>(ANC)</w:t>
      </w:r>
      <w:r w:rsidRPr="002306C8">
        <w:rPr>
          <w:rFonts w:ascii="AdvPS5962" w:hAnsi="AdvPS5962"/>
          <w:color w:val="000000" w:themeColor="text1"/>
          <w:sz w:val="22"/>
          <w:szCs w:val="22"/>
        </w:rPr>
        <w:t xml:space="preserve"> during pregnancy, and 87.9% from households without home gardens</w:t>
      </w:r>
    </w:p>
    <w:p w:rsidR="002306C8" w:rsidRPr="002306C8" w:rsidRDefault="002306C8" w:rsidP="002306C8">
      <w:pPr>
        <w:pStyle w:val="NormalWeb"/>
        <w:spacing w:before="0" w:beforeAutospacing="0" w:after="0" w:afterAutospacing="0" w:line="360" w:lineRule="auto"/>
        <w:jc w:val="both"/>
        <w:rPr>
          <w:rFonts w:ascii="AdvPS5962" w:hAnsi="AdvPS5962"/>
          <w:color w:val="000000" w:themeColor="text1"/>
          <w:sz w:val="22"/>
          <w:szCs w:val="22"/>
        </w:rPr>
      </w:pPr>
      <w:bookmarkStart w:id="24" w:name="_Toc179372980"/>
      <w:r w:rsidRPr="002306C8">
        <w:rPr>
          <w:rFonts w:ascii="AdvPS5962" w:hAnsi="AdvPS5962"/>
          <w:color w:val="000000" w:themeColor="text1"/>
          <w:sz w:val="22"/>
          <w:szCs w:val="22"/>
        </w:rPr>
        <w:t xml:space="preserve">Table 2: Factors related to mothers of </w:t>
      </w:r>
      <w:proofErr w:type="spellStart"/>
      <w:r w:rsidRPr="002306C8">
        <w:rPr>
          <w:rFonts w:ascii="AdvPS5962" w:hAnsi="AdvPS5962"/>
          <w:color w:val="000000" w:themeColor="text1"/>
          <w:sz w:val="22"/>
          <w:szCs w:val="22"/>
        </w:rPr>
        <w:t>Ginir</w:t>
      </w:r>
      <w:proofErr w:type="spellEnd"/>
      <w:r w:rsidRPr="002306C8">
        <w:rPr>
          <w:rFonts w:ascii="AdvPS5962" w:hAnsi="AdvPS5962"/>
          <w:color w:val="000000" w:themeColor="text1"/>
          <w:sz w:val="22"/>
          <w:szCs w:val="22"/>
        </w:rPr>
        <w:t xml:space="preserve"> District from April 2024 to June 2024 (n=746). </w:t>
      </w:r>
      <w:bookmarkEnd w:id="24"/>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2002"/>
        <w:gridCol w:w="1213"/>
        <w:gridCol w:w="774"/>
        <w:gridCol w:w="1213"/>
        <w:gridCol w:w="819"/>
      </w:tblGrid>
      <w:tr w:rsidR="002306C8" w:rsidRPr="002306C8" w:rsidTr="00284938">
        <w:trPr>
          <w:trHeight w:val="65"/>
        </w:trPr>
        <w:tc>
          <w:tcPr>
            <w:tcW w:w="0" w:type="auto"/>
            <w:gridSpan w:val="2"/>
            <w:vMerge w:val="restart"/>
            <w:tcBorders>
              <w:top w:val="single" w:sz="4" w:space="0" w:color="auto"/>
            </w:tcBorders>
            <w:shd w:val="clear" w:color="auto" w:fill="F2F2F2" w:themeFill="background1" w:themeFillShade="F2"/>
          </w:tcPr>
          <w:p w:rsidR="002306C8" w:rsidRPr="002306C8" w:rsidRDefault="002306C8" w:rsidP="002306C8">
            <w:pPr>
              <w:pStyle w:val="NormalWeb"/>
              <w:spacing w:before="0" w:after="0" w:line="276" w:lineRule="auto"/>
              <w:jc w:val="both"/>
              <w:rPr>
                <w:rFonts w:ascii="AdvPS5962" w:hAnsi="AdvPS5962"/>
                <w:b/>
                <w:bCs/>
                <w:color w:val="000000" w:themeColor="text1"/>
                <w:sz w:val="22"/>
                <w:szCs w:val="22"/>
              </w:rPr>
            </w:pPr>
            <w:r w:rsidRPr="002306C8">
              <w:rPr>
                <w:rFonts w:ascii="AdvPS5962" w:hAnsi="AdvPS5962"/>
                <w:b/>
                <w:color w:val="000000" w:themeColor="text1"/>
                <w:sz w:val="22"/>
                <w:szCs w:val="22"/>
              </w:rPr>
              <w:t>Variables</w:t>
            </w:r>
          </w:p>
        </w:tc>
        <w:tc>
          <w:tcPr>
            <w:tcW w:w="0" w:type="auto"/>
            <w:gridSpan w:val="2"/>
            <w:tcBorders>
              <w:top w:val="single" w:sz="4" w:space="0" w:color="auto"/>
            </w:tcBorders>
            <w:shd w:val="clear" w:color="auto" w:fill="F2F2F2" w:themeFill="background1" w:themeFillShade="F2"/>
          </w:tcPr>
          <w:p w:rsidR="002306C8" w:rsidRPr="002306C8" w:rsidRDefault="002306C8" w:rsidP="002306C8">
            <w:pPr>
              <w:pStyle w:val="NormalWeb"/>
              <w:spacing w:before="0" w:after="0" w:line="276" w:lineRule="auto"/>
              <w:jc w:val="both"/>
              <w:rPr>
                <w:rFonts w:ascii="AdvPS5962" w:hAnsi="AdvPS5962"/>
                <w:b/>
                <w:bCs/>
                <w:color w:val="000000" w:themeColor="text1"/>
                <w:sz w:val="22"/>
                <w:szCs w:val="22"/>
              </w:rPr>
            </w:pPr>
            <w:r w:rsidRPr="002306C8">
              <w:rPr>
                <w:rFonts w:ascii="AdvPS5962" w:hAnsi="AdvPS5962"/>
                <w:b/>
                <w:bCs/>
                <w:color w:val="000000" w:themeColor="text1"/>
                <w:sz w:val="22"/>
                <w:szCs w:val="22"/>
              </w:rPr>
              <w:t xml:space="preserve">          HG(n=374)    </w:t>
            </w:r>
          </w:p>
        </w:tc>
        <w:tc>
          <w:tcPr>
            <w:tcW w:w="0" w:type="auto"/>
            <w:gridSpan w:val="2"/>
            <w:tcBorders>
              <w:top w:val="single" w:sz="4" w:space="0" w:color="auto"/>
            </w:tcBorders>
            <w:shd w:val="clear" w:color="auto" w:fill="F2F2F2" w:themeFill="background1" w:themeFillShade="F2"/>
          </w:tcPr>
          <w:p w:rsidR="002306C8" w:rsidRPr="002306C8" w:rsidRDefault="002306C8" w:rsidP="002306C8">
            <w:pPr>
              <w:pStyle w:val="NormalWeb"/>
              <w:spacing w:before="0" w:after="0" w:line="276" w:lineRule="auto"/>
              <w:jc w:val="both"/>
              <w:rPr>
                <w:rFonts w:ascii="AdvPS5962" w:hAnsi="AdvPS5962"/>
                <w:b/>
                <w:bCs/>
                <w:color w:val="000000" w:themeColor="text1"/>
                <w:sz w:val="22"/>
                <w:szCs w:val="22"/>
              </w:rPr>
            </w:pPr>
            <w:r w:rsidRPr="002306C8">
              <w:rPr>
                <w:rFonts w:ascii="AdvPS5962" w:hAnsi="AdvPS5962"/>
                <w:b/>
                <w:bCs/>
                <w:color w:val="000000" w:themeColor="text1"/>
                <w:sz w:val="22"/>
                <w:szCs w:val="22"/>
              </w:rPr>
              <w:t xml:space="preserve">      HNG(n=372)</w:t>
            </w:r>
          </w:p>
        </w:tc>
      </w:tr>
      <w:tr w:rsidR="002306C8" w:rsidRPr="002306C8" w:rsidTr="00284938">
        <w:tc>
          <w:tcPr>
            <w:tcW w:w="0" w:type="auto"/>
            <w:gridSpan w:val="2"/>
            <w:vMerge/>
            <w:tcBorders>
              <w:bottom w:val="single" w:sz="4" w:space="0" w:color="auto"/>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hAnsi="AdvPS5962" w:cs="Times New Roman"/>
                <w:color w:val="000000" w:themeColor="text1"/>
              </w:rPr>
            </w:pPr>
          </w:p>
        </w:tc>
        <w:tc>
          <w:tcPr>
            <w:tcW w:w="0" w:type="auto"/>
            <w:tcBorders>
              <w:bottom w:val="single" w:sz="4" w:space="0" w:color="auto"/>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hAnsi="AdvPS5962" w:cs="Times New Roman"/>
                <w:color w:val="000000" w:themeColor="text1"/>
              </w:rPr>
            </w:pPr>
            <w:r w:rsidRPr="002306C8">
              <w:rPr>
                <w:rFonts w:ascii="AdvPS5962" w:hAnsi="AdvPS5962" w:cs="Times New Roman"/>
                <w:color w:val="000000" w:themeColor="text1"/>
              </w:rPr>
              <w:t>Frequency</w:t>
            </w:r>
          </w:p>
        </w:tc>
        <w:tc>
          <w:tcPr>
            <w:tcW w:w="0" w:type="auto"/>
            <w:tcBorders>
              <w:bottom w:val="single" w:sz="4" w:space="0" w:color="auto"/>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hAnsi="AdvPS5962" w:cs="Times New Roman"/>
                <w:color w:val="000000" w:themeColor="text1"/>
              </w:rPr>
            </w:pPr>
            <w:r w:rsidRPr="002306C8">
              <w:rPr>
                <w:rFonts w:ascii="AdvPS5962" w:hAnsi="AdvPS5962" w:cs="Times New Roman"/>
                <w:color w:val="000000" w:themeColor="text1"/>
              </w:rPr>
              <w:t>%</w:t>
            </w:r>
          </w:p>
        </w:tc>
        <w:tc>
          <w:tcPr>
            <w:tcW w:w="0" w:type="auto"/>
            <w:tcBorders>
              <w:bottom w:val="single" w:sz="4" w:space="0" w:color="auto"/>
            </w:tcBorders>
            <w:shd w:val="clear" w:color="auto" w:fill="F2F2F2" w:themeFill="background1" w:themeFillShade="F2"/>
          </w:tcPr>
          <w:p w:rsidR="002306C8" w:rsidRPr="002306C8" w:rsidRDefault="002306C8" w:rsidP="002306C8">
            <w:pPr>
              <w:pStyle w:val="NormalWeb"/>
              <w:spacing w:before="0" w:beforeAutospacing="0" w:after="0" w:afterAutospacing="0" w:line="276" w:lineRule="auto"/>
              <w:jc w:val="both"/>
              <w:rPr>
                <w:rFonts w:ascii="AdvPS5962" w:hAnsi="AdvPS5962"/>
                <w:color w:val="000000" w:themeColor="text1"/>
                <w:sz w:val="22"/>
                <w:szCs w:val="22"/>
              </w:rPr>
            </w:pPr>
            <w:r w:rsidRPr="002306C8">
              <w:rPr>
                <w:rFonts w:ascii="AdvPS5962" w:hAnsi="AdvPS5962"/>
                <w:color w:val="000000" w:themeColor="text1"/>
                <w:sz w:val="22"/>
                <w:szCs w:val="22"/>
              </w:rPr>
              <w:t>Frequency</w:t>
            </w:r>
          </w:p>
        </w:tc>
        <w:tc>
          <w:tcPr>
            <w:tcW w:w="0" w:type="auto"/>
            <w:tcBorders>
              <w:bottom w:val="single" w:sz="4" w:space="0" w:color="auto"/>
            </w:tcBorders>
            <w:shd w:val="clear" w:color="auto" w:fill="F2F2F2" w:themeFill="background1" w:themeFillShade="F2"/>
          </w:tcPr>
          <w:p w:rsidR="002306C8" w:rsidRPr="002306C8" w:rsidRDefault="002306C8" w:rsidP="002306C8">
            <w:pPr>
              <w:pStyle w:val="NormalWeb"/>
              <w:spacing w:before="0" w:beforeAutospacing="0" w:after="0" w:afterAutospacing="0" w:line="276" w:lineRule="auto"/>
              <w:jc w:val="both"/>
              <w:rPr>
                <w:rFonts w:ascii="AdvPS5962" w:hAnsi="AdvPS5962"/>
                <w:color w:val="000000" w:themeColor="text1"/>
                <w:sz w:val="22"/>
                <w:szCs w:val="22"/>
              </w:rPr>
            </w:pPr>
            <w:r w:rsidRPr="002306C8">
              <w:rPr>
                <w:rFonts w:ascii="AdvPS5962" w:hAnsi="AdvPS5962"/>
                <w:color w:val="000000" w:themeColor="text1"/>
                <w:sz w:val="22"/>
                <w:szCs w:val="22"/>
              </w:rPr>
              <w:t>%</w:t>
            </w:r>
          </w:p>
        </w:tc>
      </w:tr>
      <w:tr w:rsidR="002306C8" w:rsidRPr="002306C8" w:rsidTr="002306C8">
        <w:tc>
          <w:tcPr>
            <w:tcW w:w="0" w:type="auto"/>
            <w:tcBorders>
              <w:top w:val="single" w:sz="4" w:space="0" w:color="auto"/>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hAnsi="AdvPS5962" w:cs="Times New Roman"/>
                <w:color w:val="000000" w:themeColor="text1"/>
              </w:rPr>
              <w:t>ANC follow-up during pregnancy</w:t>
            </w:r>
          </w:p>
        </w:tc>
        <w:tc>
          <w:tcPr>
            <w:tcW w:w="0" w:type="auto"/>
            <w:tcBorders>
              <w:top w:val="single" w:sz="4" w:space="0" w:color="auto"/>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Yes </w:t>
            </w:r>
          </w:p>
        </w:tc>
        <w:tc>
          <w:tcPr>
            <w:tcW w:w="0" w:type="auto"/>
            <w:tcBorders>
              <w:top w:val="single" w:sz="4" w:space="0" w:color="auto"/>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339</w:t>
            </w:r>
          </w:p>
        </w:tc>
        <w:tc>
          <w:tcPr>
            <w:tcW w:w="0" w:type="auto"/>
            <w:tcBorders>
              <w:top w:val="single" w:sz="4" w:space="0" w:color="auto"/>
            </w:tcBorders>
          </w:tcPr>
          <w:p w:rsidR="002306C8" w:rsidRPr="002306C8" w:rsidRDefault="002306C8" w:rsidP="002306C8">
            <w:pPr>
              <w:autoSpaceDE w:val="0"/>
              <w:autoSpaceDN w:val="0"/>
              <w:adjustRightInd w:val="0"/>
              <w:spacing w:line="276" w:lineRule="auto"/>
              <w:ind w:left="5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90.6</w:t>
            </w:r>
          </w:p>
        </w:tc>
        <w:tc>
          <w:tcPr>
            <w:tcW w:w="0" w:type="auto"/>
            <w:tcBorders>
              <w:top w:val="single" w:sz="4" w:space="0" w:color="auto"/>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327</w:t>
            </w:r>
          </w:p>
        </w:tc>
        <w:tc>
          <w:tcPr>
            <w:tcW w:w="0" w:type="auto"/>
            <w:tcBorders>
              <w:top w:val="single" w:sz="4" w:space="0" w:color="auto"/>
            </w:tcBorders>
          </w:tcPr>
          <w:p w:rsidR="002306C8" w:rsidRPr="002306C8" w:rsidRDefault="002306C8" w:rsidP="002306C8">
            <w:pPr>
              <w:autoSpaceDE w:val="0"/>
              <w:autoSpaceDN w:val="0"/>
              <w:adjustRightInd w:val="0"/>
              <w:spacing w:line="276" w:lineRule="auto"/>
              <w:ind w:left="72"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87.9</w:t>
            </w:r>
          </w:p>
        </w:tc>
      </w:tr>
      <w:tr w:rsidR="002306C8" w:rsidRPr="002306C8" w:rsidTr="002306C8">
        <w:tc>
          <w:tcPr>
            <w:tcW w:w="0" w:type="auto"/>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p>
        </w:tc>
        <w:tc>
          <w:tcPr>
            <w:tcW w:w="0" w:type="auto"/>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No </w:t>
            </w:r>
          </w:p>
        </w:tc>
        <w:tc>
          <w:tcPr>
            <w:tcW w:w="0" w:type="auto"/>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35</w:t>
            </w:r>
          </w:p>
        </w:tc>
        <w:tc>
          <w:tcPr>
            <w:tcW w:w="0" w:type="auto"/>
          </w:tcPr>
          <w:p w:rsidR="002306C8" w:rsidRPr="002306C8" w:rsidRDefault="002306C8" w:rsidP="002306C8">
            <w:pPr>
              <w:autoSpaceDE w:val="0"/>
              <w:autoSpaceDN w:val="0"/>
              <w:adjustRightInd w:val="0"/>
              <w:spacing w:line="276" w:lineRule="auto"/>
              <w:ind w:left="5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9.4</w:t>
            </w:r>
          </w:p>
        </w:tc>
        <w:tc>
          <w:tcPr>
            <w:tcW w:w="0" w:type="auto"/>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45</w:t>
            </w:r>
          </w:p>
        </w:tc>
        <w:tc>
          <w:tcPr>
            <w:tcW w:w="0" w:type="auto"/>
          </w:tcPr>
          <w:p w:rsidR="002306C8" w:rsidRPr="002306C8" w:rsidRDefault="002306C8" w:rsidP="002306C8">
            <w:pPr>
              <w:autoSpaceDE w:val="0"/>
              <w:autoSpaceDN w:val="0"/>
              <w:adjustRightInd w:val="0"/>
              <w:spacing w:line="276" w:lineRule="auto"/>
              <w:ind w:left="72"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12.1</w:t>
            </w:r>
          </w:p>
        </w:tc>
      </w:tr>
      <w:tr w:rsidR="002306C8" w:rsidRPr="002306C8" w:rsidTr="00284938">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hAnsi="AdvPS5962" w:cs="Times New Roman"/>
                <w:color w:val="000000" w:themeColor="text1"/>
              </w:rPr>
              <w:t xml:space="preserve"> Place of delivery</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Health Institution</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324</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8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86.6</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323</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102"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86.8</w:t>
            </w:r>
          </w:p>
        </w:tc>
      </w:tr>
      <w:tr w:rsidR="002306C8" w:rsidRPr="002306C8" w:rsidTr="00284938">
        <w:trPr>
          <w:trHeight w:val="244"/>
        </w:trPr>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Home</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50</w:t>
            </w:r>
          </w:p>
        </w:tc>
        <w:tc>
          <w:tcPr>
            <w:tcW w:w="0" w:type="auto"/>
            <w:shd w:val="clear" w:color="auto" w:fill="F2F2F2" w:themeFill="background1" w:themeFillShade="F2"/>
          </w:tcPr>
          <w:p w:rsidR="002306C8" w:rsidRPr="002306C8" w:rsidRDefault="002306C8" w:rsidP="002306C8">
            <w:pPr>
              <w:autoSpaceDE w:val="0"/>
              <w:autoSpaceDN w:val="0"/>
              <w:adjustRightInd w:val="0"/>
              <w:spacing w:line="276" w:lineRule="auto"/>
              <w:ind w:left="2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13.4</w:t>
            </w:r>
          </w:p>
        </w:tc>
        <w:tc>
          <w:tcPr>
            <w:tcW w:w="0" w:type="auto"/>
            <w:shd w:val="clear" w:color="auto" w:fill="F2F2F2" w:themeFill="background1" w:themeFillShade="F2"/>
          </w:tcPr>
          <w:p w:rsidR="002306C8" w:rsidRPr="002306C8" w:rsidRDefault="002306C8" w:rsidP="002306C8">
            <w:pPr>
              <w:tabs>
                <w:tab w:val="left" w:pos="645"/>
                <w:tab w:val="center" w:pos="1152"/>
              </w:tabs>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     49</w:t>
            </w:r>
          </w:p>
        </w:tc>
        <w:tc>
          <w:tcPr>
            <w:tcW w:w="0" w:type="auto"/>
            <w:shd w:val="clear" w:color="auto" w:fill="F2F2F2" w:themeFill="background1" w:themeFillShade="F2"/>
          </w:tcPr>
          <w:p w:rsidR="002306C8" w:rsidRPr="002306C8" w:rsidRDefault="002306C8" w:rsidP="002306C8">
            <w:pPr>
              <w:tabs>
                <w:tab w:val="left" w:pos="645"/>
                <w:tab w:val="center" w:pos="1152"/>
              </w:tabs>
              <w:autoSpaceDE w:val="0"/>
              <w:autoSpaceDN w:val="0"/>
              <w:adjustRightInd w:val="0"/>
              <w:spacing w:line="276" w:lineRule="auto"/>
              <w:ind w:left="132"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13.2  </w:t>
            </w:r>
          </w:p>
        </w:tc>
      </w:tr>
      <w:tr w:rsidR="002306C8" w:rsidRPr="002306C8" w:rsidTr="002306C8">
        <w:trPr>
          <w:trHeight w:val="133"/>
        </w:trPr>
        <w:tc>
          <w:tcPr>
            <w:tcW w:w="0" w:type="auto"/>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PNC service</w:t>
            </w:r>
          </w:p>
        </w:tc>
        <w:tc>
          <w:tcPr>
            <w:tcW w:w="0" w:type="auto"/>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Yes </w:t>
            </w:r>
          </w:p>
        </w:tc>
        <w:tc>
          <w:tcPr>
            <w:tcW w:w="0" w:type="auto"/>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334</w:t>
            </w:r>
          </w:p>
        </w:tc>
        <w:tc>
          <w:tcPr>
            <w:tcW w:w="0" w:type="auto"/>
          </w:tcPr>
          <w:p w:rsidR="002306C8" w:rsidRPr="002306C8" w:rsidRDefault="002306C8" w:rsidP="002306C8">
            <w:pPr>
              <w:autoSpaceDE w:val="0"/>
              <w:autoSpaceDN w:val="0"/>
              <w:adjustRightInd w:val="0"/>
              <w:spacing w:line="276" w:lineRule="auto"/>
              <w:ind w:left="5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89.3</w:t>
            </w:r>
          </w:p>
        </w:tc>
        <w:tc>
          <w:tcPr>
            <w:tcW w:w="0" w:type="auto"/>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306</w:t>
            </w:r>
          </w:p>
        </w:tc>
        <w:tc>
          <w:tcPr>
            <w:tcW w:w="0" w:type="auto"/>
          </w:tcPr>
          <w:p w:rsidR="002306C8" w:rsidRPr="002306C8" w:rsidRDefault="002306C8" w:rsidP="002306C8">
            <w:pPr>
              <w:autoSpaceDE w:val="0"/>
              <w:autoSpaceDN w:val="0"/>
              <w:adjustRightInd w:val="0"/>
              <w:spacing w:line="276" w:lineRule="auto"/>
              <w:ind w:left="132"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82.3</w:t>
            </w:r>
          </w:p>
        </w:tc>
      </w:tr>
      <w:tr w:rsidR="002306C8" w:rsidRPr="002306C8" w:rsidTr="002306C8">
        <w:trPr>
          <w:trHeight w:val="274"/>
        </w:trPr>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p>
        </w:tc>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No </w:t>
            </w:r>
          </w:p>
        </w:tc>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40</w:t>
            </w:r>
          </w:p>
        </w:tc>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57"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10.7</w:t>
            </w:r>
          </w:p>
        </w:tc>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66</w:t>
            </w:r>
          </w:p>
        </w:tc>
        <w:tc>
          <w:tcPr>
            <w:tcW w:w="0" w:type="auto"/>
            <w:tcBorders>
              <w:bottom w:val="single" w:sz="4" w:space="0" w:color="auto"/>
            </w:tcBorders>
          </w:tcPr>
          <w:p w:rsidR="002306C8" w:rsidRPr="002306C8" w:rsidRDefault="002306C8" w:rsidP="002306C8">
            <w:pPr>
              <w:autoSpaceDE w:val="0"/>
              <w:autoSpaceDN w:val="0"/>
              <w:adjustRightInd w:val="0"/>
              <w:spacing w:line="276" w:lineRule="auto"/>
              <w:ind w:left="72" w:right="60"/>
              <w:jc w:val="center"/>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17.7</w:t>
            </w:r>
          </w:p>
        </w:tc>
      </w:tr>
    </w:tbl>
    <w:p w:rsidR="002306C8" w:rsidRPr="002306C8" w:rsidRDefault="002306C8" w:rsidP="002306C8">
      <w:pPr>
        <w:pStyle w:val="NoSpacing"/>
        <w:rPr>
          <w:rFonts w:ascii="AdvPS5962" w:hAnsi="AdvPS5962" w:cs="Times New Roman"/>
          <w:color w:val="000000" w:themeColor="text1"/>
          <w:sz w:val="20"/>
        </w:rPr>
      </w:pPr>
      <w:bookmarkStart w:id="25" w:name="_Toc178151329"/>
      <w:r w:rsidRPr="002306C8">
        <w:rPr>
          <w:rFonts w:ascii="AdvPS5962" w:hAnsi="AdvPS5962" w:cs="Times New Roman"/>
          <w:color w:val="000000" w:themeColor="text1"/>
          <w:sz w:val="20"/>
        </w:rPr>
        <w:t>HG</w:t>
      </w:r>
      <w:r w:rsidR="008E7845">
        <w:rPr>
          <w:rFonts w:ascii="AdvPS5962" w:hAnsi="AdvPS5962" w:cs="Times New Roman"/>
          <w:color w:val="000000" w:themeColor="text1"/>
          <w:sz w:val="20"/>
        </w:rPr>
        <w:t>-</w:t>
      </w:r>
      <w:r w:rsidRPr="002306C8">
        <w:rPr>
          <w:rFonts w:ascii="AdvPS5962" w:hAnsi="AdvPS5962" w:cs="Times New Roman"/>
          <w:color w:val="000000" w:themeColor="text1"/>
          <w:sz w:val="20"/>
        </w:rPr>
        <w:t>households with home gardens, HNG</w:t>
      </w:r>
      <w:r w:rsidR="008E7845">
        <w:rPr>
          <w:rFonts w:ascii="AdvPS5962" w:hAnsi="AdvPS5962" w:cs="Times New Roman"/>
          <w:color w:val="000000" w:themeColor="text1"/>
          <w:sz w:val="20"/>
        </w:rPr>
        <w:t>-</w:t>
      </w:r>
      <w:r w:rsidRPr="002306C8">
        <w:rPr>
          <w:rFonts w:ascii="AdvPS5962" w:hAnsi="AdvPS5962" w:cs="Times New Roman"/>
          <w:color w:val="000000" w:themeColor="text1"/>
          <w:sz w:val="20"/>
        </w:rPr>
        <w:t>households without home gardens</w:t>
      </w:r>
    </w:p>
    <w:p w:rsidR="002306C8" w:rsidRPr="002306C8" w:rsidRDefault="002306C8" w:rsidP="002306C8">
      <w:pPr>
        <w:pStyle w:val="NoSpacing"/>
        <w:spacing w:before="120" w:after="120" w:line="360" w:lineRule="auto"/>
        <w:rPr>
          <w:rFonts w:ascii="AdvPS5962" w:eastAsia="Times New Roman" w:hAnsi="AdvPS5962" w:cs="Times New Roman"/>
          <w:b/>
          <w:color w:val="000000" w:themeColor="text1"/>
          <w:sz w:val="24"/>
          <w:szCs w:val="24"/>
        </w:rPr>
        <w:sectPr w:rsidR="002306C8" w:rsidRPr="002306C8" w:rsidSect="002306C8">
          <w:type w:val="continuous"/>
          <w:pgSz w:w="12240" w:h="15840"/>
          <w:pgMar w:top="1276" w:right="1183" w:bottom="1440" w:left="1440" w:header="720" w:footer="720" w:gutter="0"/>
          <w:cols w:space="332"/>
          <w:docGrid w:linePitch="360"/>
        </w:sectPr>
      </w:pPr>
    </w:p>
    <w:p w:rsidR="002306C8" w:rsidRPr="002306C8" w:rsidRDefault="002306C8" w:rsidP="002306C8">
      <w:pPr>
        <w:pStyle w:val="NoSpacing"/>
        <w:spacing w:before="120" w:after="120" w:line="360" w:lineRule="auto"/>
        <w:rPr>
          <w:rFonts w:ascii="AdvPS5962" w:eastAsia="Times New Roman" w:hAnsi="AdvPS5962" w:cs="Times New Roman"/>
          <w:b/>
          <w:color w:val="000000" w:themeColor="text1"/>
        </w:rPr>
      </w:pPr>
      <w:r w:rsidRPr="002306C8">
        <w:rPr>
          <w:rFonts w:ascii="AdvPS5962" w:eastAsia="Times New Roman" w:hAnsi="AdvPS5962" w:cs="Times New Roman"/>
          <w:b/>
          <w:color w:val="000000" w:themeColor="text1"/>
        </w:rPr>
        <w:t>Child-related factors</w:t>
      </w:r>
      <w:bookmarkEnd w:id="25"/>
      <w:r w:rsidRPr="002306C8">
        <w:rPr>
          <w:rFonts w:ascii="AdvPS5962" w:eastAsia="Times New Roman" w:hAnsi="AdvPS5962" w:cs="Times New Roman"/>
          <w:b/>
          <w:color w:val="000000" w:themeColor="text1"/>
        </w:rPr>
        <w:t xml:space="preserve"> </w:t>
      </w:r>
    </w:p>
    <w:p w:rsidR="002306C8" w:rsidRPr="002306C8" w:rsidRDefault="002306C8" w:rsidP="002306C8">
      <w:pPr>
        <w:autoSpaceDE w:val="0"/>
        <w:autoSpaceDN w:val="0"/>
        <w:adjustRightInd w:val="0"/>
        <w:spacing w:before="120" w:after="120" w:line="360" w:lineRule="auto"/>
        <w:jc w:val="both"/>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The majority, 71.9% of children in households with home gardens were aged 6–23 months, compared to 55.4% in households without home gardens, indicating a higher proportion of younger children in households with home gardens. Of the total children from the households </w:t>
      </w:r>
      <w:r w:rsidRPr="002306C8">
        <w:rPr>
          <w:rFonts w:ascii="AdvPS5962" w:eastAsia="Times New Roman" w:hAnsi="AdvPS5962" w:cs="Times New Roman"/>
          <w:color w:val="000000" w:themeColor="text1"/>
        </w:rPr>
        <w:t xml:space="preserve">with home gardens, 51.1% were male, while 47.6% in households without home gardens. Moreover, 69.3% of children from households with home garden families were third-born or lower, while 80.6% from households without garden families (Table 3). </w:t>
      </w:r>
    </w:p>
    <w:p w:rsidR="002306C8" w:rsidRPr="002306C8" w:rsidRDefault="002306C8" w:rsidP="002306C8">
      <w:pPr>
        <w:spacing w:after="0"/>
        <w:rPr>
          <w:rFonts w:ascii="AdvPS5962" w:hAnsi="AdvPS5962" w:cs="Times New Roman"/>
          <w:color w:val="000000" w:themeColor="text1"/>
        </w:rPr>
        <w:sectPr w:rsidR="002306C8" w:rsidRPr="002306C8" w:rsidSect="002306C8">
          <w:type w:val="continuous"/>
          <w:pgSz w:w="12240" w:h="15840"/>
          <w:pgMar w:top="1276" w:right="1183" w:bottom="1440" w:left="1440" w:header="720" w:footer="720" w:gutter="0"/>
          <w:cols w:num="2" w:space="332"/>
          <w:docGrid w:linePitch="360"/>
        </w:sectPr>
      </w:pPr>
      <w:bookmarkStart w:id="26" w:name="_Toc179372981"/>
    </w:p>
    <w:p w:rsidR="002306C8" w:rsidRPr="002306C8" w:rsidRDefault="002306C8" w:rsidP="002306C8">
      <w:pPr>
        <w:spacing w:after="0"/>
        <w:rPr>
          <w:rFonts w:ascii="AdvPS5962" w:hAnsi="AdvPS5962" w:cs="Times New Roman"/>
          <w:color w:val="000000" w:themeColor="text1"/>
        </w:rPr>
      </w:pPr>
      <w:r w:rsidRPr="002306C8">
        <w:rPr>
          <w:rFonts w:ascii="AdvPS5962" w:hAnsi="AdvPS5962" w:cs="Times New Roman"/>
          <w:color w:val="000000" w:themeColor="text1"/>
        </w:rPr>
        <w:t xml:space="preserve">Table 3: Factors related to children of </w:t>
      </w:r>
      <w:proofErr w:type="spellStart"/>
      <w:r w:rsidRPr="002306C8">
        <w:rPr>
          <w:rFonts w:ascii="AdvPS5962" w:hAnsi="AdvPS5962" w:cs="Times New Roman"/>
          <w:color w:val="000000" w:themeColor="text1"/>
          <w:sz w:val="20"/>
        </w:rPr>
        <w:t>Ginir</w:t>
      </w:r>
      <w:proofErr w:type="spellEnd"/>
      <w:r w:rsidRPr="002306C8">
        <w:rPr>
          <w:rFonts w:ascii="AdvPS5962" w:hAnsi="AdvPS5962" w:cs="Times New Roman"/>
          <w:color w:val="000000" w:themeColor="text1"/>
          <w:sz w:val="20"/>
        </w:rPr>
        <w:t xml:space="preserve"> District from </w:t>
      </w:r>
      <w:r w:rsidRPr="002306C8">
        <w:rPr>
          <w:rFonts w:ascii="AdvPS5962" w:hAnsi="AdvPS5962" w:cs="Times New Roman"/>
          <w:color w:val="000000" w:themeColor="text1"/>
          <w:szCs w:val="24"/>
        </w:rPr>
        <w:t>April 2024 to June 2024 (n=</w:t>
      </w:r>
      <w:r w:rsidRPr="002306C8">
        <w:rPr>
          <w:rFonts w:ascii="AdvPS5962" w:eastAsia="Times New Roman" w:hAnsi="AdvPS5962" w:cs="Times New Roman"/>
          <w:color w:val="000000" w:themeColor="text1"/>
          <w:szCs w:val="24"/>
        </w:rPr>
        <w:t>746).</w:t>
      </w:r>
      <w:r w:rsidRPr="002306C8">
        <w:rPr>
          <w:rFonts w:ascii="AdvPS5962" w:hAnsi="AdvPS5962" w:cs="Times New Roman"/>
          <w:color w:val="000000" w:themeColor="text1"/>
        </w:rPr>
        <w:t xml:space="preserve"> </w:t>
      </w:r>
      <w:bookmarkEnd w:id="26"/>
    </w:p>
    <w:tbl>
      <w:tblPr>
        <w:tblStyle w:val="TableGrid"/>
        <w:tblW w:w="0" w:type="auto"/>
        <w:tblLook w:val="04A0" w:firstRow="1" w:lastRow="0" w:firstColumn="1" w:lastColumn="0" w:noHBand="0" w:noVBand="1"/>
      </w:tblPr>
      <w:tblGrid>
        <w:gridCol w:w="2803"/>
        <w:gridCol w:w="1788"/>
        <w:gridCol w:w="1213"/>
        <w:gridCol w:w="860"/>
        <w:gridCol w:w="1213"/>
        <w:gridCol w:w="844"/>
      </w:tblGrid>
      <w:tr w:rsidR="002306C8" w:rsidRPr="002306C8" w:rsidTr="00284938">
        <w:trPr>
          <w:trHeight w:val="391"/>
        </w:trPr>
        <w:tc>
          <w:tcPr>
            <w:tcW w:w="0" w:type="auto"/>
            <w:vMerge w:val="restart"/>
            <w:tcBorders>
              <w:left w:val="nil"/>
              <w:bottom w:val="nil"/>
              <w:right w:val="nil"/>
            </w:tcBorders>
            <w:shd w:val="clear" w:color="auto" w:fill="F2F2F2" w:themeFill="background1" w:themeFillShade="F2"/>
          </w:tcPr>
          <w:p w:rsidR="002306C8" w:rsidRPr="002306C8" w:rsidRDefault="002306C8" w:rsidP="002306C8">
            <w:pPr>
              <w:pStyle w:val="Table"/>
              <w:jc w:val="both"/>
              <w:rPr>
                <w:rFonts w:ascii="AdvPS5962" w:hAnsi="AdvPS5962"/>
                <w:color w:val="000000" w:themeColor="text1"/>
                <w:sz w:val="22"/>
              </w:rPr>
            </w:pPr>
            <w:r w:rsidRPr="002306C8">
              <w:rPr>
                <w:rFonts w:ascii="AdvPS5962" w:eastAsia="Times New Roman" w:hAnsi="AdvPS5962"/>
                <w:b/>
                <w:color w:val="000000" w:themeColor="text1"/>
                <w:sz w:val="22"/>
              </w:rPr>
              <w:t xml:space="preserve">   </w:t>
            </w:r>
            <w:bookmarkStart w:id="27" w:name="_Toc179372982"/>
            <w:r w:rsidRPr="002306C8">
              <w:rPr>
                <w:rFonts w:ascii="AdvPS5962" w:eastAsia="Times New Roman" w:hAnsi="AdvPS5962"/>
                <w:b/>
                <w:color w:val="000000" w:themeColor="text1"/>
                <w:sz w:val="22"/>
              </w:rPr>
              <w:t>Variables</w:t>
            </w:r>
            <w:bookmarkEnd w:id="27"/>
          </w:p>
        </w:tc>
        <w:tc>
          <w:tcPr>
            <w:tcW w:w="0" w:type="auto"/>
            <w:vMerge w:val="restart"/>
            <w:tcBorders>
              <w:left w:val="nil"/>
              <w:right w:val="nil"/>
            </w:tcBorders>
            <w:shd w:val="clear" w:color="auto" w:fill="F2F2F2" w:themeFill="background1" w:themeFillShade="F2"/>
          </w:tcPr>
          <w:p w:rsidR="002306C8" w:rsidRPr="002306C8" w:rsidRDefault="002306C8" w:rsidP="002306C8">
            <w:pPr>
              <w:pStyle w:val="Table"/>
              <w:jc w:val="both"/>
              <w:rPr>
                <w:rFonts w:ascii="AdvPS5962" w:eastAsia="Times New Roman" w:hAnsi="AdvPS5962"/>
                <w:b/>
                <w:bCs/>
                <w:color w:val="000000" w:themeColor="text1"/>
                <w:sz w:val="22"/>
              </w:rPr>
            </w:pPr>
          </w:p>
        </w:tc>
        <w:tc>
          <w:tcPr>
            <w:tcW w:w="0" w:type="auto"/>
            <w:gridSpan w:val="2"/>
            <w:tcBorders>
              <w:left w:val="nil"/>
              <w:bottom w:val="single" w:sz="2" w:space="0" w:color="auto"/>
              <w:right w:val="nil"/>
            </w:tcBorders>
            <w:shd w:val="clear" w:color="auto" w:fill="F2F2F2" w:themeFill="background1" w:themeFillShade="F2"/>
          </w:tcPr>
          <w:p w:rsidR="002306C8" w:rsidRPr="002306C8" w:rsidRDefault="002306C8" w:rsidP="002306C8">
            <w:pPr>
              <w:pStyle w:val="Table"/>
              <w:jc w:val="both"/>
              <w:rPr>
                <w:rFonts w:ascii="AdvPS5962" w:hAnsi="AdvPS5962"/>
                <w:color w:val="000000" w:themeColor="text1"/>
                <w:sz w:val="22"/>
              </w:rPr>
            </w:pPr>
            <w:r w:rsidRPr="002306C8">
              <w:rPr>
                <w:rFonts w:ascii="AdvPS5962" w:eastAsia="Times New Roman" w:hAnsi="AdvPS5962"/>
                <w:b/>
                <w:bCs/>
                <w:color w:val="000000" w:themeColor="text1"/>
                <w:sz w:val="22"/>
              </w:rPr>
              <w:t xml:space="preserve">           </w:t>
            </w:r>
            <w:bookmarkStart w:id="28" w:name="_Toc179372983"/>
            <w:r w:rsidRPr="002306C8">
              <w:rPr>
                <w:rFonts w:ascii="AdvPS5962" w:eastAsia="Times New Roman" w:hAnsi="AdvPS5962"/>
                <w:b/>
                <w:bCs/>
                <w:color w:val="000000" w:themeColor="text1"/>
                <w:sz w:val="22"/>
              </w:rPr>
              <w:t>HG(n=374)</w:t>
            </w:r>
            <w:bookmarkEnd w:id="28"/>
            <w:r w:rsidRPr="002306C8">
              <w:rPr>
                <w:rFonts w:ascii="AdvPS5962" w:eastAsia="Times New Roman" w:hAnsi="AdvPS5962"/>
                <w:b/>
                <w:bCs/>
                <w:color w:val="000000" w:themeColor="text1"/>
                <w:sz w:val="22"/>
              </w:rPr>
              <w:t xml:space="preserve">                </w:t>
            </w:r>
          </w:p>
        </w:tc>
        <w:tc>
          <w:tcPr>
            <w:tcW w:w="0" w:type="auto"/>
            <w:gridSpan w:val="2"/>
            <w:tcBorders>
              <w:left w:val="nil"/>
              <w:bottom w:val="single" w:sz="2" w:space="0" w:color="auto"/>
              <w:right w:val="nil"/>
            </w:tcBorders>
            <w:shd w:val="clear" w:color="auto" w:fill="F2F2F2" w:themeFill="background1" w:themeFillShade="F2"/>
          </w:tcPr>
          <w:p w:rsidR="002306C8" w:rsidRPr="002306C8" w:rsidRDefault="002306C8" w:rsidP="002306C8">
            <w:pPr>
              <w:pStyle w:val="Table"/>
              <w:jc w:val="both"/>
              <w:rPr>
                <w:rFonts w:ascii="AdvPS5962" w:hAnsi="AdvPS5962"/>
                <w:color w:val="000000" w:themeColor="text1"/>
                <w:sz w:val="22"/>
              </w:rPr>
            </w:pPr>
            <w:r w:rsidRPr="002306C8">
              <w:rPr>
                <w:rFonts w:ascii="AdvPS5962" w:eastAsia="Times New Roman" w:hAnsi="AdvPS5962"/>
                <w:b/>
                <w:bCs/>
                <w:color w:val="000000" w:themeColor="text1"/>
                <w:sz w:val="22"/>
              </w:rPr>
              <w:t xml:space="preserve">           </w:t>
            </w:r>
            <w:bookmarkStart w:id="29" w:name="_Toc179372984"/>
            <w:r w:rsidRPr="002306C8">
              <w:rPr>
                <w:rFonts w:ascii="AdvPS5962" w:eastAsia="Times New Roman" w:hAnsi="AdvPS5962"/>
                <w:b/>
                <w:bCs/>
                <w:color w:val="000000" w:themeColor="text1"/>
                <w:sz w:val="22"/>
              </w:rPr>
              <w:t>HNG(n=372)</w:t>
            </w:r>
            <w:bookmarkEnd w:id="29"/>
          </w:p>
        </w:tc>
      </w:tr>
      <w:tr w:rsidR="002306C8" w:rsidRPr="002306C8" w:rsidTr="00284938">
        <w:trPr>
          <w:trHeight w:val="105"/>
        </w:trPr>
        <w:tc>
          <w:tcPr>
            <w:tcW w:w="0" w:type="auto"/>
            <w:vMerge/>
            <w:tcBorders>
              <w:top w:val="nil"/>
              <w:left w:val="nil"/>
              <w:bottom w:val="single" w:sz="4" w:space="0" w:color="auto"/>
              <w:right w:val="nil"/>
            </w:tcBorders>
            <w:shd w:val="clear" w:color="auto" w:fill="F2F2F2" w:themeFill="background1" w:themeFillShade="F2"/>
          </w:tcPr>
          <w:p w:rsidR="002306C8" w:rsidRPr="002306C8" w:rsidRDefault="002306C8" w:rsidP="002306C8">
            <w:pPr>
              <w:pStyle w:val="Table"/>
              <w:jc w:val="both"/>
              <w:rPr>
                <w:rFonts w:ascii="AdvPS5962" w:hAnsi="AdvPS5962"/>
                <w:b/>
                <w:color w:val="000000" w:themeColor="text1"/>
                <w:sz w:val="22"/>
              </w:rPr>
            </w:pPr>
          </w:p>
        </w:tc>
        <w:tc>
          <w:tcPr>
            <w:tcW w:w="0" w:type="auto"/>
            <w:vMerge/>
            <w:tcBorders>
              <w:left w:val="nil"/>
              <w:bottom w:val="single" w:sz="4" w:space="0" w:color="auto"/>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hAnsi="AdvPS5962" w:cs="Times New Roman"/>
                <w:color w:val="000000" w:themeColor="text1"/>
                <w:sz w:val="22"/>
              </w:rPr>
            </w:pPr>
          </w:p>
        </w:tc>
        <w:tc>
          <w:tcPr>
            <w:tcW w:w="0" w:type="auto"/>
            <w:tcBorders>
              <w:top w:val="single" w:sz="2" w:space="0" w:color="auto"/>
              <w:left w:val="nil"/>
              <w:bottom w:val="single" w:sz="4" w:space="0" w:color="auto"/>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eastAsia="Times New Roman" w:hAnsi="AdvPS5962" w:cs="Times New Roman"/>
                <w:b/>
                <w:color w:val="000000" w:themeColor="text1"/>
                <w:sz w:val="22"/>
              </w:rPr>
            </w:pPr>
            <w:r w:rsidRPr="002306C8">
              <w:rPr>
                <w:rFonts w:ascii="AdvPS5962" w:hAnsi="AdvPS5962" w:cs="Times New Roman"/>
                <w:color w:val="000000" w:themeColor="text1"/>
                <w:sz w:val="22"/>
              </w:rPr>
              <w:t xml:space="preserve">Frequency        </w:t>
            </w:r>
          </w:p>
        </w:tc>
        <w:tc>
          <w:tcPr>
            <w:tcW w:w="0" w:type="auto"/>
            <w:tcBorders>
              <w:top w:val="single" w:sz="2" w:space="0" w:color="auto"/>
              <w:left w:val="nil"/>
              <w:bottom w:val="single" w:sz="4" w:space="0" w:color="auto"/>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rPr>
                <w:rFonts w:ascii="AdvPS5962" w:eastAsia="Times New Roman" w:hAnsi="AdvPS5962" w:cs="Times New Roman"/>
                <w:b/>
                <w:color w:val="000000" w:themeColor="text1"/>
                <w:sz w:val="22"/>
              </w:rPr>
            </w:pPr>
            <w:r w:rsidRPr="002306C8">
              <w:rPr>
                <w:rFonts w:ascii="AdvPS5962" w:hAnsi="AdvPS5962" w:cs="Times New Roman"/>
                <w:color w:val="000000" w:themeColor="text1"/>
                <w:sz w:val="22"/>
              </w:rPr>
              <w:t xml:space="preserve">       %</w:t>
            </w:r>
          </w:p>
        </w:tc>
        <w:tc>
          <w:tcPr>
            <w:tcW w:w="0" w:type="auto"/>
            <w:tcBorders>
              <w:top w:val="single" w:sz="2" w:space="0" w:color="auto"/>
              <w:left w:val="nil"/>
              <w:bottom w:val="single" w:sz="4" w:space="0" w:color="auto"/>
              <w:right w:val="nil"/>
            </w:tcBorders>
            <w:shd w:val="clear" w:color="auto" w:fill="F2F2F2" w:themeFill="background1" w:themeFillShade="F2"/>
          </w:tcPr>
          <w:p w:rsidR="002306C8" w:rsidRPr="002306C8" w:rsidRDefault="002306C8" w:rsidP="002306C8">
            <w:pPr>
              <w:pStyle w:val="Table"/>
              <w:jc w:val="both"/>
              <w:rPr>
                <w:rFonts w:ascii="AdvPS5962" w:hAnsi="AdvPS5962"/>
                <w:color w:val="000000" w:themeColor="text1"/>
                <w:sz w:val="22"/>
              </w:rPr>
            </w:pPr>
            <w:bookmarkStart w:id="30" w:name="_Toc179372986"/>
            <w:r w:rsidRPr="002306C8">
              <w:rPr>
                <w:rFonts w:ascii="AdvPS5962" w:hAnsi="AdvPS5962"/>
                <w:color w:val="000000" w:themeColor="text1"/>
                <w:sz w:val="22"/>
              </w:rPr>
              <w:t>Frequency</w:t>
            </w:r>
            <w:bookmarkEnd w:id="30"/>
          </w:p>
        </w:tc>
        <w:tc>
          <w:tcPr>
            <w:tcW w:w="0" w:type="auto"/>
            <w:tcBorders>
              <w:top w:val="single" w:sz="2" w:space="0" w:color="auto"/>
              <w:left w:val="nil"/>
              <w:bottom w:val="single" w:sz="4" w:space="0" w:color="auto"/>
              <w:right w:val="nil"/>
            </w:tcBorders>
            <w:shd w:val="clear" w:color="auto" w:fill="F2F2F2" w:themeFill="background1" w:themeFillShade="F2"/>
          </w:tcPr>
          <w:p w:rsidR="002306C8" w:rsidRPr="002306C8" w:rsidRDefault="002306C8" w:rsidP="002306C8">
            <w:pPr>
              <w:pStyle w:val="Table"/>
              <w:jc w:val="both"/>
              <w:rPr>
                <w:rFonts w:ascii="AdvPS5962" w:hAnsi="AdvPS5962"/>
                <w:color w:val="000000" w:themeColor="text1"/>
                <w:sz w:val="22"/>
              </w:rPr>
            </w:pPr>
            <w:r w:rsidRPr="002306C8">
              <w:rPr>
                <w:rFonts w:ascii="AdvPS5962" w:hAnsi="AdvPS5962"/>
                <w:color w:val="000000" w:themeColor="text1"/>
                <w:sz w:val="22"/>
              </w:rPr>
              <w:t xml:space="preserve">    </w:t>
            </w:r>
            <w:bookmarkStart w:id="31" w:name="_Toc179372987"/>
            <w:r w:rsidRPr="002306C8">
              <w:rPr>
                <w:rFonts w:ascii="AdvPS5962" w:hAnsi="AdvPS5962"/>
                <w:color w:val="000000" w:themeColor="text1"/>
                <w:sz w:val="22"/>
              </w:rPr>
              <w:t>%</w:t>
            </w:r>
            <w:bookmarkEnd w:id="31"/>
          </w:p>
        </w:tc>
      </w:tr>
      <w:tr w:rsidR="002306C8" w:rsidRPr="002306C8" w:rsidTr="002306C8">
        <w:tc>
          <w:tcPr>
            <w:tcW w:w="0" w:type="auto"/>
            <w:tcBorders>
              <w:top w:val="single" w:sz="4" w:space="0" w:color="auto"/>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 Age of child</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6-23</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269</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71.9</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206</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26"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55.4</w:t>
            </w:r>
          </w:p>
        </w:tc>
      </w:tr>
      <w:tr w:rsidR="002306C8" w:rsidRPr="002306C8" w:rsidTr="002306C8">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24-59</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105</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28.1</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166</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94"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44.6</w:t>
            </w:r>
          </w:p>
        </w:tc>
      </w:tr>
      <w:tr w:rsidR="002306C8" w:rsidRPr="002306C8" w:rsidTr="00284938">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lastRenderedPageBreak/>
              <w:t>Sex of child</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Male </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191</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51.1</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177</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26"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47.6</w:t>
            </w:r>
          </w:p>
        </w:tc>
      </w:tr>
      <w:tr w:rsidR="002306C8" w:rsidRPr="002306C8" w:rsidTr="00284938">
        <w:tc>
          <w:tcPr>
            <w:tcW w:w="0" w:type="auto"/>
            <w:tcBorders>
              <w:top w:val="nil"/>
              <w:left w:val="nil"/>
              <w:bottom w:val="nil"/>
              <w:right w:val="nil"/>
            </w:tcBorders>
            <w:shd w:val="clear" w:color="auto" w:fill="F2F2F2" w:themeFill="background1" w:themeFillShade="F2"/>
          </w:tcPr>
          <w:p w:rsidR="002306C8" w:rsidRPr="002306C8" w:rsidRDefault="002306C8" w:rsidP="002306C8">
            <w:pPr>
              <w:tabs>
                <w:tab w:val="left" w:pos="1635"/>
              </w:tabs>
              <w:autoSpaceDE w:val="0"/>
              <w:autoSpaceDN w:val="0"/>
              <w:adjustRightInd w:val="0"/>
              <w:spacing w:line="276" w:lineRule="auto"/>
              <w:ind w:left="60" w:right="60"/>
              <w:rPr>
                <w:rFonts w:ascii="AdvPS5962" w:eastAsia="Times New Roman" w:hAnsi="AdvPS5962" w:cs="Times New Roman"/>
                <w:color w:val="000000" w:themeColor="text1"/>
                <w:sz w:val="22"/>
              </w:rPr>
            </w:pP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Female </w:t>
            </w:r>
            <w:r w:rsidRPr="002306C8">
              <w:rPr>
                <w:rFonts w:ascii="AdvPS5962" w:eastAsia="Times New Roman" w:hAnsi="AdvPS5962" w:cs="Times New Roman"/>
                <w:color w:val="000000" w:themeColor="text1"/>
                <w:sz w:val="22"/>
              </w:rPr>
              <w:tab/>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183</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1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48.9</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195</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57"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52.4</w:t>
            </w:r>
          </w:p>
        </w:tc>
      </w:tr>
      <w:tr w:rsidR="002306C8" w:rsidRPr="002306C8" w:rsidTr="002306C8">
        <w:trPr>
          <w:trHeight w:val="150"/>
        </w:trPr>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 Childbirth order</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&lt;=3</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257</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68.7</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302</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26"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81.2</w:t>
            </w:r>
          </w:p>
        </w:tc>
      </w:tr>
      <w:tr w:rsidR="002306C8" w:rsidRPr="002306C8" w:rsidTr="002306C8">
        <w:trPr>
          <w:trHeight w:val="111"/>
        </w:trPr>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&gt;3</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117</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42"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31.3</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70</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94"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18.8</w:t>
            </w:r>
          </w:p>
        </w:tc>
      </w:tr>
      <w:tr w:rsidR="002306C8" w:rsidRPr="002306C8" w:rsidTr="00284938">
        <w:trPr>
          <w:trHeight w:val="126"/>
        </w:trPr>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Child immunization status</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Immunized </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363</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97.1</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315</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26"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84.7</w:t>
            </w:r>
          </w:p>
        </w:tc>
      </w:tr>
      <w:tr w:rsidR="002306C8" w:rsidRPr="002306C8" w:rsidTr="00284938">
        <w:trPr>
          <w:trHeight w:val="165"/>
        </w:trPr>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Not immunized</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11</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173"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2.9</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57</w:t>
            </w:r>
          </w:p>
        </w:tc>
        <w:tc>
          <w:tcPr>
            <w:tcW w:w="0" w:type="auto"/>
            <w:tcBorders>
              <w:top w:val="nil"/>
              <w:left w:val="nil"/>
              <w:bottom w:val="nil"/>
              <w:right w:val="nil"/>
            </w:tcBorders>
            <w:shd w:val="clear" w:color="auto" w:fill="F2F2F2" w:themeFill="background1" w:themeFillShade="F2"/>
          </w:tcPr>
          <w:p w:rsidR="002306C8" w:rsidRPr="002306C8" w:rsidRDefault="002306C8" w:rsidP="002306C8">
            <w:pPr>
              <w:autoSpaceDE w:val="0"/>
              <w:autoSpaceDN w:val="0"/>
              <w:adjustRightInd w:val="0"/>
              <w:spacing w:line="276" w:lineRule="auto"/>
              <w:ind w:left="62"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15.3</w:t>
            </w:r>
          </w:p>
        </w:tc>
      </w:tr>
      <w:tr w:rsidR="002306C8" w:rsidRPr="002306C8" w:rsidTr="002306C8">
        <w:trPr>
          <w:trHeight w:val="74"/>
        </w:trPr>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 xml:space="preserve"> Child illness</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Yes</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105</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142"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28.1</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152</w:t>
            </w:r>
          </w:p>
        </w:tc>
        <w:tc>
          <w:tcPr>
            <w:tcW w:w="0" w:type="auto"/>
            <w:tcBorders>
              <w:top w:val="nil"/>
              <w:left w:val="nil"/>
              <w:bottom w:val="nil"/>
              <w:right w:val="nil"/>
            </w:tcBorders>
          </w:tcPr>
          <w:p w:rsidR="002306C8" w:rsidRPr="002306C8" w:rsidRDefault="002306C8" w:rsidP="002306C8">
            <w:pPr>
              <w:autoSpaceDE w:val="0"/>
              <w:autoSpaceDN w:val="0"/>
              <w:adjustRightInd w:val="0"/>
              <w:spacing w:line="276" w:lineRule="auto"/>
              <w:ind w:left="94"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40.9</w:t>
            </w:r>
          </w:p>
        </w:tc>
      </w:tr>
      <w:tr w:rsidR="002306C8" w:rsidRPr="002306C8" w:rsidTr="002306C8">
        <w:trPr>
          <w:trHeight w:val="165"/>
        </w:trPr>
        <w:tc>
          <w:tcPr>
            <w:tcW w:w="0" w:type="auto"/>
            <w:tcBorders>
              <w:top w:val="nil"/>
              <w:left w:val="nil"/>
              <w:bottom w:val="single" w:sz="2" w:space="0" w:color="auto"/>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p>
        </w:tc>
        <w:tc>
          <w:tcPr>
            <w:tcW w:w="0" w:type="auto"/>
            <w:tcBorders>
              <w:top w:val="nil"/>
              <w:left w:val="nil"/>
              <w:bottom w:val="single" w:sz="2" w:space="0" w:color="auto"/>
              <w:right w:val="nil"/>
            </w:tcBorders>
          </w:tcPr>
          <w:p w:rsidR="002306C8" w:rsidRPr="002306C8" w:rsidRDefault="002306C8" w:rsidP="002306C8">
            <w:pPr>
              <w:autoSpaceDE w:val="0"/>
              <w:autoSpaceDN w:val="0"/>
              <w:adjustRightInd w:val="0"/>
              <w:spacing w:line="276" w:lineRule="auto"/>
              <w:ind w:left="60" w:right="60"/>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No</w:t>
            </w:r>
          </w:p>
        </w:tc>
        <w:tc>
          <w:tcPr>
            <w:tcW w:w="0" w:type="auto"/>
            <w:tcBorders>
              <w:top w:val="nil"/>
              <w:left w:val="nil"/>
              <w:bottom w:val="single" w:sz="2" w:space="0" w:color="auto"/>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269</w:t>
            </w:r>
          </w:p>
        </w:tc>
        <w:tc>
          <w:tcPr>
            <w:tcW w:w="0" w:type="auto"/>
            <w:tcBorders>
              <w:top w:val="nil"/>
              <w:left w:val="nil"/>
              <w:right w:val="nil"/>
            </w:tcBorders>
          </w:tcPr>
          <w:p w:rsidR="002306C8" w:rsidRPr="002306C8" w:rsidRDefault="002306C8" w:rsidP="002306C8">
            <w:pPr>
              <w:autoSpaceDE w:val="0"/>
              <w:autoSpaceDN w:val="0"/>
              <w:adjustRightInd w:val="0"/>
              <w:spacing w:line="276" w:lineRule="auto"/>
              <w:ind w:left="142"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71.9</w:t>
            </w:r>
          </w:p>
        </w:tc>
        <w:tc>
          <w:tcPr>
            <w:tcW w:w="0" w:type="auto"/>
            <w:tcBorders>
              <w:top w:val="nil"/>
              <w:left w:val="nil"/>
              <w:right w:val="nil"/>
            </w:tcBorders>
          </w:tcPr>
          <w:p w:rsidR="002306C8" w:rsidRPr="002306C8" w:rsidRDefault="002306C8" w:rsidP="002306C8">
            <w:pPr>
              <w:autoSpaceDE w:val="0"/>
              <w:autoSpaceDN w:val="0"/>
              <w:adjustRightInd w:val="0"/>
              <w:spacing w:line="276" w:lineRule="auto"/>
              <w:ind w:left="60"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220</w:t>
            </w:r>
          </w:p>
        </w:tc>
        <w:tc>
          <w:tcPr>
            <w:tcW w:w="0" w:type="auto"/>
            <w:tcBorders>
              <w:top w:val="nil"/>
              <w:left w:val="nil"/>
              <w:right w:val="nil"/>
            </w:tcBorders>
          </w:tcPr>
          <w:p w:rsidR="002306C8" w:rsidRPr="002306C8" w:rsidRDefault="002306C8" w:rsidP="002306C8">
            <w:pPr>
              <w:autoSpaceDE w:val="0"/>
              <w:autoSpaceDN w:val="0"/>
              <w:adjustRightInd w:val="0"/>
              <w:spacing w:line="276" w:lineRule="auto"/>
              <w:ind w:left="94" w:right="60"/>
              <w:jc w:val="center"/>
              <w:rPr>
                <w:rFonts w:ascii="AdvPS5962" w:eastAsia="Times New Roman" w:hAnsi="AdvPS5962" w:cs="Times New Roman"/>
                <w:color w:val="000000" w:themeColor="text1"/>
                <w:sz w:val="22"/>
              </w:rPr>
            </w:pPr>
            <w:r w:rsidRPr="002306C8">
              <w:rPr>
                <w:rFonts w:ascii="AdvPS5962" w:eastAsia="Times New Roman" w:hAnsi="AdvPS5962" w:cs="Times New Roman"/>
                <w:color w:val="000000" w:themeColor="text1"/>
                <w:sz w:val="22"/>
              </w:rPr>
              <w:t>59.1</w:t>
            </w:r>
          </w:p>
        </w:tc>
      </w:tr>
    </w:tbl>
    <w:p w:rsidR="002306C8" w:rsidRPr="002306C8" w:rsidRDefault="002306C8" w:rsidP="002306C8">
      <w:pPr>
        <w:pStyle w:val="NoSpacing"/>
        <w:rPr>
          <w:rFonts w:ascii="AdvPS5962" w:hAnsi="AdvPS5962" w:cs="Times New Roman"/>
          <w:color w:val="000000" w:themeColor="text1"/>
          <w:sz w:val="20"/>
        </w:rPr>
      </w:pPr>
      <w:bookmarkStart w:id="32" w:name="_Toc178151330"/>
      <w:r w:rsidRPr="002306C8">
        <w:rPr>
          <w:rFonts w:ascii="AdvPS5962" w:hAnsi="AdvPS5962" w:cs="Times New Roman"/>
          <w:i/>
          <w:color w:val="000000" w:themeColor="text1"/>
          <w:sz w:val="20"/>
        </w:rPr>
        <w:t>Keynote</w:t>
      </w:r>
      <w:r w:rsidRPr="002306C8">
        <w:rPr>
          <w:rFonts w:ascii="AdvPS5962" w:hAnsi="AdvPS5962" w:cs="Times New Roman"/>
          <w:color w:val="000000" w:themeColor="text1"/>
          <w:sz w:val="20"/>
        </w:rPr>
        <w:t>: HG= households with home gardens, HNG=households without home gardens</w:t>
      </w:r>
    </w:p>
    <w:p w:rsidR="002306C8" w:rsidRPr="002306C8" w:rsidRDefault="002306C8" w:rsidP="002306C8">
      <w:pPr>
        <w:pStyle w:val="NoSpacing"/>
        <w:spacing w:before="120" w:after="120" w:line="360" w:lineRule="auto"/>
        <w:rPr>
          <w:rFonts w:ascii="AdvPS5962" w:hAnsi="AdvPS5962" w:cs="Times New Roman"/>
          <w:b/>
          <w:color w:val="000000" w:themeColor="text1"/>
          <w:sz w:val="24"/>
        </w:rPr>
        <w:sectPr w:rsidR="002306C8" w:rsidRPr="002306C8" w:rsidSect="002306C8">
          <w:type w:val="continuous"/>
          <w:pgSz w:w="12240" w:h="15840"/>
          <w:pgMar w:top="1276" w:right="1183" w:bottom="1440" w:left="1440" w:header="720" w:footer="720" w:gutter="0"/>
          <w:cols w:space="332"/>
          <w:docGrid w:linePitch="360"/>
        </w:sectPr>
      </w:pPr>
    </w:p>
    <w:p w:rsidR="002306C8" w:rsidRPr="002306C8" w:rsidRDefault="002306C8" w:rsidP="002306C8">
      <w:pPr>
        <w:pStyle w:val="NoSpacing"/>
        <w:spacing w:before="120" w:after="120" w:line="360" w:lineRule="auto"/>
        <w:rPr>
          <w:rFonts w:ascii="AdvPS5962" w:hAnsi="AdvPS5962" w:cs="Times New Roman"/>
          <w:b/>
          <w:color w:val="000000" w:themeColor="text1"/>
        </w:rPr>
      </w:pPr>
      <w:r w:rsidRPr="002306C8">
        <w:rPr>
          <w:rFonts w:ascii="AdvPS5962" w:hAnsi="AdvPS5962" w:cs="Times New Roman"/>
          <w:b/>
          <w:color w:val="000000" w:themeColor="text1"/>
        </w:rPr>
        <w:t xml:space="preserve">Maternal knowledge </w:t>
      </w:r>
      <w:bookmarkEnd w:id="32"/>
      <w:r w:rsidRPr="002306C8">
        <w:rPr>
          <w:rFonts w:ascii="AdvPS5962" w:hAnsi="AdvPS5962" w:cs="Times New Roman"/>
          <w:b/>
          <w:color w:val="000000" w:themeColor="text1"/>
        </w:rPr>
        <w:t>of nutrition</w:t>
      </w:r>
    </w:p>
    <w:p w:rsidR="002306C8" w:rsidRPr="002306C8" w:rsidRDefault="002306C8" w:rsidP="002306C8">
      <w:pPr>
        <w:spacing w:before="120" w:after="120" w:line="360" w:lineRule="auto"/>
        <w:jc w:val="both"/>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Table 4 depicts the nutritional knowledge distribution among mothers. Of the total mothers from households with home gardens, 303 (81%) knew when to start babies eating foods in addition to breast milk, while 305 (82%) from households without home gardens. About 10% of mothers reported that illness is one of the causes </w:t>
      </w:r>
      <w:r w:rsidRPr="002306C8">
        <w:rPr>
          <w:rFonts w:ascii="AdvPS5962" w:eastAsia="Times New Roman" w:hAnsi="AdvPS5962" w:cs="Times New Roman"/>
          <w:color w:val="000000" w:themeColor="text1"/>
        </w:rPr>
        <w:t xml:space="preserve">of undernutrition in households with, and 1.3% of mothers from households without home gardens. Moreover, 105 (28%) of mothers from households with home gardens reported that inadequate dietary intake causes child undernutrition, and 71 (19%) of mothers from households without gardens (Table 4). </w:t>
      </w:r>
    </w:p>
    <w:p w:rsidR="002306C8" w:rsidRDefault="002306C8" w:rsidP="00F64ADE">
      <w:pPr>
        <w:spacing w:line="360" w:lineRule="auto"/>
        <w:jc w:val="both"/>
        <w:rPr>
          <w:rFonts w:ascii="AdvPS5962" w:hAnsi="AdvPS5962" w:cs="Times New Roman"/>
          <w:color w:val="000000" w:themeColor="text1"/>
        </w:rPr>
        <w:sectPr w:rsidR="002306C8" w:rsidSect="002306C8">
          <w:type w:val="continuous"/>
          <w:pgSz w:w="12240" w:h="15840"/>
          <w:pgMar w:top="1276" w:right="1183" w:bottom="1440" w:left="1440" w:header="720" w:footer="720" w:gutter="0"/>
          <w:cols w:num="2" w:space="332"/>
          <w:docGrid w:linePitch="360"/>
        </w:sectPr>
      </w:pPr>
    </w:p>
    <w:p w:rsidR="002306C8" w:rsidRPr="002306C8" w:rsidRDefault="002306C8" w:rsidP="00284938">
      <w:pPr>
        <w:pStyle w:val="Table"/>
        <w:spacing w:before="120" w:after="0" w:line="240" w:lineRule="auto"/>
        <w:rPr>
          <w:rFonts w:ascii="AdvPS5962" w:hAnsi="AdvPS5962"/>
          <w:color w:val="000000" w:themeColor="text1"/>
          <w:sz w:val="22"/>
        </w:rPr>
      </w:pPr>
      <w:bookmarkStart w:id="33" w:name="_Toc179372994"/>
      <w:r w:rsidRPr="002306C8">
        <w:rPr>
          <w:rFonts w:ascii="AdvPS5962" w:hAnsi="AdvPS5962"/>
          <w:color w:val="000000" w:themeColor="text1"/>
          <w:sz w:val="22"/>
        </w:rPr>
        <w:t xml:space="preserve">Table 4: Maternal knowledge towards nutrition </w:t>
      </w:r>
      <w:bookmarkEnd w:id="33"/>
      <w:r w:rsidRPr="002306C8">
        <w:rPr>
          <w:rFonts w:ascii="AdvPS5962" w:hAnsi="AdvPS5962"/>
          <w:color w:val="000000" w:themeColor="text1"/>
          <w:sz w:val="22"/>
        </w:rPr>
        <w:t xml:space="preserve">in </w:t>
      </w:r>
      <w:proofErr w:type="spellStart"/>
      <w:r w:rsidRPr="002306C8">
        <w:rPr>
          <w:rFonts w:ascii="AdvPS5962" w:hAnsi="AdvPS5962"/>
          <w:color w:val="000000" w:themeColor="text1"/>
          <w:sz w:val="22"/>
        </w:rPr>
        <w:t>Ginir</w:t>
      </w:r>
      <w:proofErr w:type="spellEnd"/>
      <w:r w:rsidRPr="002306C8">
        <w:rPr>
          <w:rFonts w:ascii="AdvPS5962" w:hAnsi="AdvPS5962"/>
          <w:color w:val="000000" w:themeColor="text1"/>
          <w:sz w:val="22"/>
        </w:rPr>
        <w:t xml:space="preserve"> District from April 2024 to June 2024 (n=</w:t>
      </w:r>
      <w:r w:rsidRPr="002306C8">
        <w:rPr>
          <w:rFonts w:ascii="AdvPS5962" w:eastAsia="Times New Roman" w:hAnsi="AdvPS5962"/>
          <w:color w:val="000000" w:themeColor="text1"/>
          <w:sz w:val="22"/>
        </w:rPr>
        <w:t>746).</w:t>
      </w:r>
    </w:p>
    <w:tbl>
      <w:tblPr>
        <w:tblStyle w:val="TableGrid1"/>
        <w:tblW w:w="9634" w:type="dxa"/>
        <w:tblBorders>
          <w:left w:val="none" w:sz="0" w:space="0" w:color="auto"/>
          <w:right w:val="none" w:sz="0" w:space="0" w:color="auto"/>
          <w:insideV w:val="none" w:sz="0" w:space="0" w:color="auto"/>
        </w:tblBorders>
        <w:tblLook w:val="04A0" w:firstRow="1" w:lastRow="0" w:firstColumn="1" w:lastColumn="0" w:noHBand="0" w:noVBand="1"/>
      </w:tblPr>
      <w:tblGrid>
        <w:gridCol w:w="2689"/>
        <w:gridCol w:w="2126"/>
        <w:gridCol w:w="1276"/>
        <w:gridCol w:w="1134"/>
        <w:gridCol w:w="1275"/>
        <w:gridCol w:w="1134"/>
      </w:tblGrid>
      <w:tr w:rsidR="002306C8" w:rsidRPr="002306C8" w:rsidTr="0082740D">
        <w:tc>
          <w:tcPr>
            <w:tcW w:w="2689" w:type="dxa"/>
            <w:vMerge w:val="restart"/>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2"/>
                <w:szCs w:val="22"/>
              </w:rPr>
            </w:pPr>
            <w:r w:rsidRPr="002306C8">
              <w:rPr>
                <w:rFonts w:ascii="AdvPS5962" w:eastAsia="Times New Roman" w:hAnsi="AdvPS5962" w:cs="Times New Roman"/>
                <w:color w:val="000000" w:themeColor="text1"/>
                <w:sz w:val="22"/>
                <w:szCs w:val="22"/>
              </w:rPr>
              <w:t xml:space="preserve">                Variables</w:t>
            </w:r>
          </w:p>
        </w:tc>
        <w:tc>
          <w:tcPr>
            <w:tcW w:w="2126" w:type="dxa"/>
            <w:tcBorders>
              <w:bottom w:val="nil"/>
            </w:tcBorders>
            <w:shd w:val="clear" w:color="auto" w:fill="F2F2F2" w:themeFill="background1" w:themeFillShade="F2"/>
          </w:tcPr>
          <w:p w:rsidR="002306C8" w:rsidRPr="002306C8" w:rsidRDefault="002306C8" w:rsidP="002306C8">
            <w:pPr>
              <w:pStyle w:val="Heading2"/>
              <w:spacing w:before="0"/>
              <w:outlineLvl w:val="1"/>
              <w:rPr>
                <w:rFonts w:ascii="AdvPS5962" w:eastAsia="Times New Roman" w:hAnsi="AdvPS5962" w:cs="Times New Roman"/>
                <w:color w:val="000000" w:themeColor="text1"/>
                <w:sz w:val="22"/>
                <w:szCs w:val="22"/>
              </w:rPr>
            </w:pPr>
          </w:p>
        </w:tc>
        <w:tc>
          <w:tcPr>
            <w:tcW w:w="2410" w:type="dxa"/>
            <w:gridSpan w:val="2"/>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2"/>
                <w:szCs w:val="22"/>
              </w:rPr>
            </w:pPr>
            <w:r w:rsidRPr="002306C8">
              <w:rPr>
                <w:rFonts w:ascii="AdvPS5962" w:eastAsia="Times New Roman" w:hAnsi="AdvPS5962" w:cs="Times New Roman"/>
                <w:color w:val="000000" w:themeColor="text1"/>
                <w:sz w:val="22"/>
                <w:szCs w:val="22"/>
              </w:rPr>
              <w:t xml:space="preserve">        HG (n=374     </w:t>
            </w:r>
          </w:p>
        </w:tc>
        <w:tc>
          <w:tcPr>
            <w:tcW w:w="2409" w:type="dxa"/>
            <w:gridSpan w:val="2"/>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2"/>
                <w:szCs w:val="22"/>
              </w:rPr>
            </w:pPr>
            <w:r w:rsidRPr="002306C8">
              <w:rPr>
                <w:rFonts w:ascii="AdvPS5962" w:eastAsia="Times New Roman" w:hAnsi="AdvPS5962" w:cs="Times New Roman"/>
                <w:b w:val="0"/>
                <w:color w:val="000000" w:themeColor="text1"/>
                <w:sz w:val="22"/>
                <w:szCs w:val="22"/>
              </w:rPr>
              <w:t xml:space="preserve">       H</w:t>
            </w:r>
            <w:r w:rsidRPr="002306C8">
              <w:rPr>
                <w:rFonts w:ascii="AdvPS5962" w:eastAsia="Times New Roman" w:hAnsi="AdvPS5962" w:cs="Times New Roman"/>
                <w:color w:val="000000" w:themeColor="text1"/>
                <w:sz w:val="22"/>
                <w:szCs w:val="22"/>
              </w:rPr>
              <w:t>NG (n=372</w:t>
            </w:r>
          </w:p>
        </w:tc>
      </w:tr>
      <w:tr w:rsidR="002306C8" w:rsidRPr="002306C8" w:rsidTr="0082740D">
        <w:tc>
          <w:tcPr>
            <w:tcW w:w="2689" w:type="dxa"/>
            <w:vMerge/>
            <w:tcBorders>
              <w:bottom w:val="single" w:sz="4" w:space="0" w:color="auto"/>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2"/>
                <w:szCs w:val="22"/>
              </w:rPr>
            </w:pPr>
          </w:p>
        </w:tc>
        <w:tc>
          <w:tcPr>
            <w:tcW w:w="2126" w:type="dxa"/>
            <w:tcBorders>
              <w:top w:val="nil"/>
              <w:bottom w:val="single" w:sz="4" w:space="0" w:color="auto"/>
            </w:tcBorders>
            <w:shd w:val="clear" w:color="auto" w:fill="F2F2F2" w:themeFill="background1" w:themeFillShade="F2"/>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p>
        </w:tc>
        <w:tc>
          <w:tcPr>
            <w:tcW w:w="1276" w:type="dxa"/>
            <w:tcBorders>
              <w:bottom w:val="single" w:sz="4" w:space="0" w:color="auto"/>
            </w:tcBorders>
            <w:shd w:val="clear" w:color="auto" w:fill="F2F2F2" w:themeFill="background1" w:themeFillShade="F2"/>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Frequency</w:t>
            </w:r>
          </w:p>
        </w:tc>
        <w:tc>
          <w:tcPr>
            <w:tcW w:w="1134" w:type="dxa"/>
            <w:tcBorders>
              <w:bottom w:val="single" w:sz="4" w:space="0" w:color="auto"/>
            </w:tcBorders>
            <w:shd w:val="clear" w:color="auto" w:fill="F2F2F2" w:themeFill="background1" w:themeFillShade="F2"/>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w:t>
            </w:r>
          </w:p>
        </w:tc>
        <w:tc>
          <w:tcPr>
            <w:tcW w:w="1275" w:type="dxa"/>
            <w:tcBorders>
              <w:bottom w:val="single" w:sz="4" w:space="0" w:color="auto"/>
            </w:tcBorders>
            <w:shd w:val="clear" w:color="auto" w:fill="F2F2F2" w:themeFill="background1" w:themeFillShade="F2"/>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Frequency</w:t>
            </w:r>
          </w:p>
        </w:tc>
        <w:tc>
          <w:tcPr>
            <w:tcW w:w="1134" w:type="dxa"/>
            <w:tcBorders>
              <w:bottom w:val="single" w:sz="4" w:space="0" w:color="auto"/>
            </w:tcBorders>
            <w:shd w:val="clear" w:color="auto" w:fill="F2F2F2" w:themeFill="background1" w:themeFillShade="F2"/>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w:t>
            </w:r>
          </w:p>
        </w:tc>
      </w:tr>
      <w:tr w:rsidR="002306C8" w:rsidRPr="002306C8" w:rsidTr="0082740D">
        <w:tc>
          <w:tcPr>
            <w:tcW w:w="2689" w:type="dxa"/>
            <w:tcBorders>
              <w:bottom w:val="nil"/>
            </w:tcBorders>
          </w:tcPr>
          <w:p w:rsidR="002306C8" w:rsidRPr="002306C8" w:rsidRDefault="002306C8" w:rsidP="002306C8">
            <w:pPr>
              <w:rPr>
                <w:rFonts w:ascii="AdvPS5962" w:hAnsi="AdvPS5962" w:cs="Times New Roman"/>
                <w:color w:val="000000" w:themeColor="text1"/>
              </w:rPr>
            </w:pPr>
            <w:r w:rsidRPr="002306C8">
              <w:rPr>
                <w:rFonts w:ascii="AdvPS5962" w:hAnsi="AdvPS5962" w:cs="Times New Roman"/>
                <w:color w:val="000000" w:themeColor="text1"/>
              </w:rPr>
              <w:t xml:space="preserve"> Time for babies start additional foods </w:t>
            </w:r>
          </w:p>
        </w:tc>
        <w:tc>
          <w:tcPr>
            <w:tcW w:w="2126" w:type="dxa"/>
            <w:tcBorders>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Before 6 months</w:t>
            </w:r>
          </w:p>
        </w:tc>
        <w:tc>
          <w:tcPr>
            <w:tcW w:w="1276" w:type="dxa"/>
            <w:tcBorders>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14</w:t>
            </w:r>
          </w:p>
        </w:tc>
        <w:tc>
          <w:tcPr>
            <w:tcW w:w="1134" w:type="dxa"/>
            <w:tcBorders>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3.7</w:t>
            </w:r>
          </w:p>
        </w:tc>
        <w:tc>
          <w:tcPr>
            <w:tcW w:w="1275" w:type="dxa"/>
            <w:tcBorders>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 xml:space="preserve">    8</w:t>
            </w:r>
          </w:p>
        </w:tc>
        <w:tc>
          <w:tcPr>
            <w:tcW w:w="1134" w:type="dxa"/>
            <w:tcBorders>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2.1</w:t>
            </w:r>
          </w:p>
        </w:tc>
      </w:tr>
      <w:tr w:rsidR="002306C8" w:rsidRPr="002306C8" w:rsidTr="0082740D">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After 6months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303</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81</w:t>
            </w:r>
          </w:p>
        </w:tc>
        <w:tc>
          <w:tcPr>
            <w:tcW w:w="1275" w:type="dxa"/>
            <w:tcBorders>
              <w:top w:val="nil"/>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 xml:space="preserve">   305</w:t>
            </w:r>
          </w:p>
        </w:tc>
        <w:tc>
          <w:tcPr>
            <w:tcW w:w="1134" w:type="dxa"/>
            <w:tcBorders>
              <w:top w:val="nil"/>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81.9</w:t>
            </w:r>
          </w:p>
        </w:tc>
      </w:tr>
      <w:tr w:rsidR="002306C8" w:rsidRPr="002306C8" w:rsidTr="0082740D">
        <w:tc>
          <w:tcPr>
            <w:tcW w:w="2689" w:type="dxa"/>
            <w:tcBorders>
              <w:top w:val="nil"/>
              <w:bottom w:val="nil"/>
            </w:tcBorders>
          </w:tcPr>
          <w:p w:rsidR="002306C8" w:rsidRPr="002306C8" w:rsidRDefault="002306C8" w:rsidP="002306C8">
            <w:pPr>
              <w:pStyle w:val="Heading2"/>
              <w:spacing w:before="0"/>
              <w:ind w:left="12"/>
              <w:outlineLvl w:val="1"/>
              <w:rPr>
                <w:rFonts w:ascii="AdvPS5962" w:hAnsi="AdvPS5962" w:cs="Times New Roman"/>
                <w:b w:val="0"/>
                <w:color w:val="000000" w:themeColor="text1"/>
                <w:sz w:val="22"/>
                <w:szCs w:val="22"/>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I don´t know</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57</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15.2</w:t>
            </w:r>
          </w:p>
        </w:tc>
        <w:tc>
          <w:tcPr>
            <w:tcW w:w="1275" w:type="dxa"/>
            <w:tcBorders>
              <w:top w:val="nil"/>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 xml:space="preserve">   59</w:t>
            </w:r>
          </w:p>
        </w:tc>
        <w:tc>
          <w:tcPr>
            <w:tcW w:w="1134" w:type="dxa"/>
            <w:tcBorders>
              <w:top w:val="nil"/>
              <w:bottom w:val="nil"/>
            </w:tcBorders>
          </w:tcPr>
          <w:p w:rsidR="002306C8" w:rsidRPr="002306C8" w:rsidRDefault="002306C8" w:rsidP="002306C8">
            <w:pPr>
              <w:pStyle w:val="Heading2"/>
              <w:spacing w:before="0"/>
              <w:outlineLvl w:val="1"/>
              <w:rPr>
                <w:rFonts w:ascii="AdvPS5962" w:eastAsia="Times New Roman" w:hAnsi="AdvPS5962" w:cs="Times New Roman"/>
                <w:b w:val="0"/>
                <w:color w:val="000000" w:themeColor="text1"/>
                <w:sz w:val="22"/>
                <w:szCs w:val="22"/>
              </w:rPr>
            </w:pPr>
            <w:r w:rsidRPr="002306C8">
              <w:rPr>
                <w:rFonts w:ascii="AdvPS5962" w:eastAsia="Times New Roman" w:hAnsi="AdvPS5962" w:cs="Times New Roman"/>
                <w:b w:val="0"/>
                <w:color w:val="000000" w:themeColor="text1"/>
                <w:sz w:val="22"/>
                <w:szCs w:val="22"/>
              </w:rPr>
              <w:t>15.8</w:t>
            </w:r>
          </w:p>
        </w:tc>
      </w:tr>
      <w:tr w:rsidR="002306C8" w:rsidRPr="002306C8" w:rsidTr="0082740D">
        <w:trPr>
          <w:trHeight w:val="195"/>
        </w:trPr>
        <w:tc>
          <w:tcPr>
            <w:tcW w:w="2689"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Knowledge about varieties of food groups</w:t>
            </w: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Yes </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260</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69.5</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265</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71.2</w:t>
            </w:r>
          </w:p>
        </w:tc>
      </w:tr>
      <w:tr w:rsidR="002306C8" w:rsidRPr="002306C8" w:rsidTr="0082740D">
        <w:trPr>
          <w:trHeight w:val="165"/>
        </w:trPr>
        <w:tc>
          <w:tcPr>
            <w:tcW w:w="2689"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color w:val="000000" w:themeColor="text1"/>
                <w:sz w:val="22"/>
                <w:szCs w:val="22"/>
              </w:rPr>
              <w:t xml:space="preserve"> </w:t>
            </w:r>
            <w:r w:rsidRPr="002306C8">
              <w:rPr>
                <w:rFonts w:ascii="AdvPS5962" w:hAnsi="AdvPS5962" w:cs="Times New Roman"/>
                <w:b w:val="0"/>
                <w:color w:val="000000" w:themeColor="text1"/>
                <w:sz w:val="22"/>
                <w:szCs w:val="22"/>
              </w:rPr>
              <w:t>No</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114</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30.4</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107</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28.7</w:t>
            </w:r>
          </w:p>
        </w:tc>
      </w:tr>
      <w:tr w:rsidR="002306C8" w:rsidRPr="002306C8" w:rsidTr="0082740D">
        <w:trPr>
          <w:trHeight w:val="195"/>
        </w:trPr>
        <w:tc>
          <w:tcPr>
            <w:tcW w:w="2689"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List the varieties of food groups</w:t>
            </w: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Cereal food groups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150</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40.1</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123</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33</w:t>
            </w:r>
          </w:p>
        </w:tc>
      </w:tr>
      <w:tr w:rsidR="002306C8" w:rsidRPr="002306C8" w:rsidTr="0082740D">
        <w:trPr>
          <w:trHeight w:val="165"/>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Vegetables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59</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15.7</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60</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16.1</w:t>
            </w:r>
          </w:p>
        </w:tc>
      </w:tr>
      <w:tr w:rsidR="002306C8" w:rsidRPr="002306C8" w:rsidTr="0082740D">
        <w:trPr>
          <w:trHeight w:val="165"/>
        </w:trPr>
        <w:tc>
          <w:tcPr>
            <w:tcW w:w="2689"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Fruits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32</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8.5</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47</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12.6</w:t>
            </w:r>
          </w:p>
        </w:tc>
      </w:tr>
      <w:tr w:rsidR="002306C8" w:rsidRPr="002306C8" w:rsidTr="0082740D">
        <w:trPr>
          <w:trHeight w:val="180"/>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Meat groups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0.5</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22</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5.9</w:t>
            </w:r>
          </w:p>
        </w:tc>
      </w:tr>
      <w:tr w:rsidR="002306C8" w:rsidRPr="002306C8" w:rsidTr="0082740D">
        <w:trPr>
          <w:trHeight w:val="240"/>
        </w:trPr>
        <w:tc>
          <w:tcPr>
            <w:tcW w:w="2689"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Others (eggs, dairy products)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17</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4.5</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13</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3.4</w:t>
            </w:r>
          </w:p>
        </w:tc>
      </w:tr>
      <w:tr w:rsidR="002306C8" w:rsidRPr="002306C8" w:rsidTr="0082740D">
        <w:trPr>
          <w:trHeight w:val="169"/>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r w:rsidRPr="002306C8">
              <w:rPr>
                <w:rFonts w:ascii="AdvPS5962" w:hAnsi="AdvPS5962" w:cs="Times New Roman"/>
                <w:color w:val="000000" w:themeColor="text1"/>
              </w:rPr>
              <w:t xml:space="preserve">Knowledge about the term nutrition </w:t>
            </w: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Deficiencies of energy supply from foods</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75</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20</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72</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19.3</w:t>
            </w:r>
          </w:p>
        </w:tc>
      </w:tr>
      <w:tr w:rsidR="002306C8" w:rsidRPr="002306C8" w:rsidTr="0082740D">
        <w:trPr>
          <w:trHeight w:val="585"/>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Deficiencies of disease-protecting foods </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177</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47.3</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106</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28.4</w:t>
            </w:r>
          </w:p>
        </w:tc>
      </w:tr>
      <w:tr w:rsidR="002306C8" w:rsidRPr="002306C8" w:rsidTr="0082740D">
        <w:trPr>
          <w:trHeight w:val="377"/>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I don´t know</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122</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32.6</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194</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52.1</w:t>
            </w:r>
          </w:p>
        </w:tc>
      </w:tr>
      <w:tr w:rsidR="002306C8" w:rsidRPr="002306C8" w:rsidTr="0082740D">
        <w:trPr>
          <w:trHeight w:val="210"/>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r w:rsidRPr="002306C8">
              <w:rPr>
                <w:rFonts w:ascii="AdvPS5962" w:hAnsi="AdvPS5962" w:cs="Times New Roman"/>
                <w:color w:val="000000" w:themeColor="text1"/>
              </w:rPr>
              <w:t>Causes of malnutrition</w:t>
            </w: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Diseases/illness</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36</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9.6</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5</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1.3</w:t>
            </w:r>
          </w:p>
        </w:tc>
      </w:tr>
      <w:tr w:rsidR="002306C8" w:rsidRPr="002306C8" w:rsidTr="0082740D">
        <w:trPr>
          <w:trHeight w:val="184"/>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Inadequate dietary intake</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105</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28</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71</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19</w:t>
            </w:r>
          </w:p>
        </w:tc>
      </w:tr>
      <w:tr w:rsidR="002306C8" w:rsidRPr="002306C8" w:rsidTr="0082740D">
        <w:trPr>
          <w:trHeight w:val="184"/>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Inadequate dietary diversity</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58</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15.5</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48</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12.9</w:t>
            </w:r>
          </w:p>
        </w:tc>
      </w:tr>
      <w:tr w:rsidR="002306C8" w:rsidRPr="002306C8" w:rsidTr="0082740D">
        <w:trPr>
          <w:trHeight w:val="169"/>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Lack of access to food</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23</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6.1</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48</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12.9</w:t>
            </w:r>
          </w:p>
        </w:tc>
      </w:tr>
      <w:tr w:rsidR="002306C8" w:rsidRPr="002306C8" w:rsidTr="0082740D">
        <w:trPr>
          <w:trHeight w:val="255"/>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I don’t know </w:t>
            </w: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152</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40.6</w:t>
            </w: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200</w:t>
            </w: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53.7</w:t>
            </w:r>
          </w:p>
        </w:tc>
      </w:tr>
      <w:tr w:rsidR="002306C8" w:rsidRPr="002306C8" w:rsidTr="0082740D">
        <w:trPr>
          <w:trHeight w:val="210"/>
        </w:trPr>
        <w:tc>
          <w:tcPr>
            <w:tcW w:w="2689" w:type="dxa"/>
            <w:tcBorders>
              <w:top w:val="nil"/>
              <w:bottom w:val="nil"/>
            </w:tcBorders>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1276"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1275"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c>
          <w:tcPr>
            <w:tcW w:w="1134" w:type="dxa"/>
            <w:tcBorders>
              <w:top w:val="nil"/>
              <w:bottom w:val="nil"/>
            </w:tcBorders>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p>
        </w:tc>
      </w:tr>
      <w:tr w:rsidR="002306C8" w:rsidRPr="002306C8" w:rsidTr="0082740D">
        <w:trPr>
          <w:trHeight w:val="210"/>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r w:rsidRPr="002306C8">
              <w:rPr>
                <w:rFonts w:ascii="AdvPS5962" w:hAnsi="AdvPS5962" w:cs="Times New Roman"/>
                <w:color w:val="000000" w:themeColor="text1"/>
              </w:rPr>
              <w:t>Consequences of undernutrition</w:t>
            </w: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Morbidity   </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151</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40.3</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65</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17.4</w:t>
            </w:r>
          </w:p>
        </w:tc>
      </w:tr>
      <w:tr w:rsidR="002306C8" w:rsidRPr="002306C8" w:rsidTr="0082740D">
        <w:trPr>
          <w:trHeight w:val="210"/>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Mortality      </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64</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17.1</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57</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15.3</w:t>
            </w:r>
          </w:p>
        </w:tc>
      </w:tr>
      <w:tr w:rsidR="002306C8" w:rsidRPr="002306C8" w:rsidTr="0082740D">
        <w:trPr>
          <w:trHeight w:val="210"/>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Reduce productivity </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0.5</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43</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11.5</w:t>
            </w:r>
          </w:p>
        </w:tc>
      </w:tr>
      <w:tr w:rsidR="002306C8" w:rsidRPr="002306C8" w:rsidTr="0082740D">
        <w:trPr>
          <w:trHeight w:val="210"/>
        </w:trPr>
        <w:tc>
          <w:tcPr>
            <w:tcW w:w="2689" w:type="dxa"/>
            <w:tcBorders>
              <w:top w:val="nil"/>
              <w:bottom w:val="nil"/>
            </w:tcBorders>
            <w:shd w:val="clear" w:color="auto" w:fill="F2F2F2" w:themeFill="background1" w:themeFillShade="F2"/>
          </w:tcPr>
          <w:p w:rsidR="002306C8" w:rsidRPr="002306C8" w:rsidRDefault="002306C8" w:rsidP="002306C8">
            <w:pPr>
              <w:rPr>
                <w:rFonts w:ascii="AdvPS5962" w:hAnsi="AdvPS5962" w:cs="Times New Roman"/>
                <w:color w:val="000000" w:themeColor="text1"/>
              </w:rPr>
            </w:pPr>
          </w:p>
        </w:tc>
        <w:tc>
          <w:tcPr>
            <w:tcW w:w="212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I don’t know</w:t>
            </w:r>
          </w:p>
        </w:tc>
        <w:tc>
          <w:tcPr>
            <w:tcW w:w="1276"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157</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41.9</w:t>
            </w:r>
          </w:p>
        </w:tc>
        <w:tc>
          <w:tcPr>
            <w:tcW w:w="1275"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 xml:space="preserve">   207</w:t>
            </w:r>
          </w:p>
        </w:tc>
        <w:tc>
          <w:tcPr>
            <w:tcW w:w="1134" w:type="dxa"/>
            <w:tcBorders>
              <w:top w:val="nil"/>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b w:val="0"/>
                <w:color w:val="000000" w:themeColor="text1"/>
                <w:sz w:val="22"/>
                <w:szCs w:val="22"/>
              </w:rPr>
            </w:pPr>
            <w:r w:rsidRPr="002306C8">
              <w:rPr>
                <w:rFonts w:ascii="AdvPS5962" w:hAnsi="AdvPS5962" w:cs="Times New Roman"/>
                <w:b w:val="0"/>
                <w:color w:val="000000" w:themeColor="text1"/>
                <w:sz w:val="22"/>
                <w:szCs w:val="22"/>
              </w:rPr>
              <w:t>55.6</w:t>
            </w:r>
          </w:p>
        </w:tc>
      </w:tr>
      <w:tr w:rsidR="002306C8" w:rsidRPr="002306C8" w:rsidTr="0082740D">
        <w:trPr>
          <w:trHeight w:val="180"/>
        </w:trPr>
        <w:tc>
          <w:tcPr>
            <w:tcW w:w="2689"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 xml:space="preserve"> Knowledge</w:t>
            </w:r>
          </w:p>
        </w:tc>
        <w:tc>
          <w:tcPr>
            <w:tcW w:w="2126"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Good</w:t>
            </w:r>
          </w:p>
        </w:tc>
        <w:tc>
          <w:tcPr>
            <w:tcW w:w="1276"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 xml:space="preserve">   237           </w:t>
            </w:r>
          </w:p>
        </w:tc>
        <w:tc>
          <w:tcPr>
            <w:tcW w:w="1134"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63.4</w:t>
            </w:r>
          </w:p>
        </w:tc>
        <w:tc>
          <w:tcPr>
            <w:tcW w:w="1275"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 xml:space="preserve">   181             </w:t>
            </w:r>
          </w:p>
        </w:tc>
        <w:tc>
          <w:tcPr>
            <w:tcW w:w="1134" w:type="dxa"/>
            <w:tcBorders>
              <w:top w:val="nil"/>
              <w:bottom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48.7</w:t>
            </w:r>
          </w:p>
        </w:tc>
      </w:tr>
      <w:tr w:rsidR="002306C8" w:rsidRPr="002306C8" w:rsidTr="0082740D">
        <w:trPr>
          <w:trHeight w:val="184"/>
        </w:trPr>
        <w:tc>
          <w:tcPr>
            <w:tcW w:w="2689" w:type="dxa"/>
            <w:tcBorders>
              <w:top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p>
        </w:tc>
        <w:tc>
          <w:tcPr>
            <w:tcW w:w="2126" w:type="dxa"/>
            <w:tcBorders>
              <w:top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Poor</w:t>
            </w:r>
          </w:p>
        </w:tc>
        <w:tc>
          <w:tcPr>
            <w:tcW w:w="1276" w:type="dxa"/>
            <w:tcBorders>
              <w:top w:val="nil"/>
            </w:tcBorders>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 xml:space="preserve">   137            </w:t>
            </w:r>
          </w:p>
        </w:tc>
        <w:tc>
          <w:tcPr>
            <w:tcW w:w="1134" w:type="dxa"/>
            <w:tcBorders>
              <w:top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36.6</w:t>
            </w:r>
          </w:p>
        </w:tc>
        <w:tc>
          <w:tcPr>
            <w:tcW w:w="1275" w:type="dxa"/>
            <w:tcBorders>
              <w:top w:val="nil"/>
            </w:tcBorders>
          </w:tcPr>
          <w:p w:rsidR="002306C8" w:rsidRPr="002306C8" w:rsidRDefault="002306C8" w:rsidP="002306C8">
            <w:pPr>
              <w:autoSpaceDE w:val="0"/>
              <w:autoSpaceDN w:val="0"/>
              <w:adjustRightInd w:val="0"/>
              <w:rPr>
                <w:rFonts w:ascii="AdvPS5962" w:eastAsia="Times New Roman" w:hAnsi="AdvPS5962" w:cs="Times New Roman"/>
                <w:b/>
                <w:color w:val="000000" w:themeColor="text1"/>
              </w:rPr>
            </w:pPr>
            <w:r w:rsidRPr="002306C8">
              <w:rPr>
                <w:rFonts w:ascii="AdvPS5962" w:eastAsia="Times New Roman" w:hAnsi="AdvPS5962" w:cs="Times New Roman"/>
                <w:color w:val="000000" w:themeColor="text1"/>
              </w:rPr>
              <w:t xml:space="preserve">   191</w:t>
            </w:r>
          </w:p>
        </w:tc>
        <w:tc>
          <w:tcPr>
            <w:tcW w:w="1134" w:type="dxa"/>
            <w:tcBorders>
              <w:top w:val="nil"/>
            </w:tcBorders>
          </w:tcPr>
          <w:p w:rsidR="002306C8" w:rsidRPr="002306C8" w:rsidRDefault="002306C8" w:rsidP="002306C8">
            <w:pPr>
              <w:autoSpaceDE w:val="0"/>
              <w:autoSpaceDN w:val="0"/>
              <w:adjustRightInd w:val="0"/>
              <w:rPr>
                <w:rFonts w:ascii="AdvPS5962" w:eastAsia="Times New Roman" w:hAnsi="AdvPS5962" w:cs="Times New Roman"/>
                <w:color w:val="000000" w:themeColor="text1"/>
              </w:rPr>
            </w:pPr>
            <w:r w:rsidRPr="002306C8">
              <w:rPr>
                <w:rFonts w:ascii="AdvPS5962" w:eastAsia="Times New Roman" w:hAnsi="AdvPS5962" w:cs="Times New Roman"/>
                <w:color w:val="000000" w:themeColor="text1"/>
              </w:rPr>
              <w:t>51.3</w:t>
            </w:r>
          </w:p>
        </w:tc>
      </w:tr>
    </w:tbl>
    <w:p w:rsidR="002306C8" w:rsidRPr="008E7845" w:rsidRDefault="002306C8" w:rsidP="002306C8">
      <w:pPr>
        <w:pStyle w:val="NoSpacing"/>
        <w:rPr>
          <w:rFonts w:ascii="AdvPS5962" w:hAnsi="AdvPS5962" w:cs="Times New Roman"/>
          <w:i/>
          <w:color w:val="000000" w:themeColor="text1"/>
        </w:rPr>
      </w:pPr>
      <w:r w:rsidRPr="008E7845">
        <w:rPr>
          <w:rFonts w:ascii="AdvPS5962" w:hAnsi="AdvPS5962" w:cs="Times New Roman"/>
          <w:i/>
          <w:color w:val="000000" w:themeColor="text1"/>
        </w:rPr>
        <w:t>HG</w:t>
      </w:r>
      <w:r w:rsidR="008E7845" w:rsidRPr="008E7845">
        <w:rPr>
          <w:rFonts w:ascii="AdvPS5962" w:hAnsi="AdvPS5962" w:cs="Times New Roman"/>
          <w:i/>
          <w:color w:val="000000" w:themeColor="text1"/>
        </w:rPr>
        <w:t>-</w:t>
      </w:r>
      <w:r w:rsidRPr="008E7845">
        <w:rPr>
          <w:rFonts w:ascii="AdvPS5962" w:hAnsi="AdvPS5962" w:cs="Times New Roman"/>
          <w:i/>
          <w:color w:val="000000" w:themeColor="text1"/>
        </w:rPr>
        <w:t>households with home gardens, HNG</w:t>
      </w:r>
      <w:r w:rsidR="008E7845" w:rsidRPr="008E7845">
        <w:rPr>
          <w:rFonts w:ascii="AdvPS5962" w:hAnsi="AdvPS5962" w:cs="Times New Roman"/>
          <w:i/>
          <w:color w:val="000000" w:themeColor="text1"/>
        </w:rPr>
        <w:t>-</w:t>
      </w:r>
      <w:r w:rsidRPr="008E7845">
        <w:rPr>
          <w:rFonts w:ascii="AdvPS5962" w:hAnsi="AdvPS5962" w:cs="Times New Roman"/>
          <w:i/>
          <w:color w:val="000000" w:themeColor="text1"/>
        </w:rPr>
        <w:t>households without home gardens</w:t>
      </w:r>
    </w:p>
    <w:p w:rsidR="002306C8" w:rsidRDefault="002306C8" w:rsidP="002306C8">
      <w:pPr>
        <w:pStyle w:val="NoSpacing"/>
        <w:spacing w:before="120" w:after="120" w:line="360" w:lineRule="auto"/>
        <w:rPr>
          <w:rFonts w:ascii="AdvPS5962" w:hAnsi="AdvPS5962" w:cs="Times New Roman"/>
          <w:b/>
          <w:color w:val="000000" w:themeColor="text1"/>
          <w:sz w:val="24"/>
        </w:rPr>
        <w:sectPr w:rsidR="002306C8" w:rsidSect="002306C8">
          <w:type w:val="continuous"/>
          <w:pgSz w:w="12240" w:h="15840"/>
          <w:pgMar w:top="1276" w:right="1183" w:bottom="1440" w:left="1440" w:header="720" w:footer="720" w:gutter="0"/>
          <w:cols w:space="332"/>
          <w:docGrid w:linePitch="360"/>
        </w:sectPr>
      </w:pPr>
    </w:p>
    <w:p w:rsidR="002306C8" w:rsidRPr="002306C8" w:rsidRDefault="002306C8" w:rsidP="002306C8">
      <w:pPr>
        <w:pStyle w:val="NoSpacing"/>
        <w:spacing w:before="120" w:after="120" w:line="360" w:lineRule="auto"/>
        <w:rPr>
          <w:rFonts w:ascii="AdvPS5962" w:hAnsi="AdvPS5962" w:cs="Times New Roman"/>
          <w:b/>
          <w:color w:val="000000" w:themeColor="text1"/>
        </w:rPr>
      </w:pPr>
      <w:r w:rsidRPr="002306C8">
        <w:rPr>
          <w:rFonts w:ascii="AdvPS5962" w:hAnsi="AdvPS5962" w:cs="Times New Roman"/>
          <w:b/>
          <w:color w:val="000000" w:themeColor="text1"/>
        </w:rPr>
        <w:t xml:space="preserve">Dietary diversity scores </w:t>
      </w:r>
    </w:p>
    <w:p w:rsidR="002306C8" w:rsidRPr="002306C8" w:rsidRDefault="002306C8" w:rsidP="002306C8">
      <w:pPr>
        <w:spacing w:before="120" w:after="120" w:line="360" w:lineRule="auto"/>
        <w:jc w:val="both"/>
        <w:rPr>
          <w:rFonts w:ascii="AdvPS5962" w:hAnsi="AdvPS5962" w:cs="Times New Roman"/>
          <w:color w:val="000000" w:themeColor="text1"/>
        </w:rPr>
      </w:pPr>
      <w:r w:rsidRPr="002306C8">
        <w:rPr>
          <w:rFonts w:ascii="AdvPS5962" w:eastAsia="Times New Roman" w:hAnsi="AdvPS5962" w:cs="Times New Roman"/>
          <w:color w:val="000000" w:themeColor="text1"/>
        </w:rPr>
        <w:t xml:space="preserve">Table 5 shows dietary diversity scores within 24 hours before the day of data collection among children aged 6–59 months in households with and without home gardens. Children from households with home gardens consumed more </w:t>
      </w:r>
      <w:r w:rsidRPr="002306C8">
        <w:rPr>
          <w:rFonts w:ascii="AdvPS5962" w:eastAsia="Times New Roman" w:hAnsi="AdvPS5962" w:cs="Times New Roman"/>
          <w:color w:val="000000" w:themeColor="text1"/>
        </w:rPr>
        <w:t>grains/tubers/root, legumes/seeds, and vitamin A-rich fruits and vegetables compared to those children from households without home gardens. About 240 (80.9%) mothers from households with home gardens and 193 (93.7%) without home gardens breastfed their children (</w:t>
      </w:r>
      <w:r w:rsidRPr="002306C8">
        <w:rPr>
          <w:rFonts w:ascii="AdvPS5962" w:hAnsi="AdvPS5962" w:cs="Times New Roman"/>
          <w:color w:val="000000" w:themeColor="text1"/>
        </w:rPr>
        <w:t>Table 5</w:t>
      </w:r>
      <w:r w:rsidRPr="002306C8">
        <w:rPr>
          <w:rFonts w:ascii="AdvPS5962" w:eastAsia="Times New Roman" w:hAnsi="AdvPS5962" w:cs="Times New Roman"/>
          <w:color w:val="000000" w:themeColor="text1"/>
        </w:rPr>
        <w:t>).</w:t>
      </w:r>
    </w:p>
    <w:p w:rsidR="002306C8" w:rsidRDefault="002306C8" w:rsidP="002306C8">
      <w:pPr>
        <w:pStyle w:val="Table"/>
        <w:rPr>
          <w:rFonts w:ascii="AdvPS5962" w:hAnsi="AdvPS5962"/>
          <w:color w:val="000000" w:themeColor="text1"/>
          <w:szCs w:val="24"/>
        </w:rPr>
        <w:sectPr w:rsidR="002306C8" w:rsidSect="002306C8">
          <w:type w:val="continuous"/>
          <w:pgSz w:w="12240" w:h="15840"/>
          <w:pgMar w:top="1276" w:right="1183" w:bottom="1440" w:left="1440" w:header="720" w:footer="720" w:gutter="0"/>
          <w:cols w:num="2" w:space="332"/>
          <w:docGrid w:linePitch="360"/>
        </w:sectPr>
      </w:pPr>
      <w:bookmarkStart w:id="34" w:name="_Toc179372995"/>
    </w:p>
    <w:p w:rsidR="002306C8" w:rsidRPr="002306C8" w:rsidRDefault="002306C8" w:rsidP="002306C8">
      <w:pPr>
        <w:pStyle w:val="Table"/>
        <w:spacing w:before="120" w:after="0"/>
        <w:rPr>
          <w:rFonts w:ascii="AdvPS5962" w:eastAsia="Times New Roman" w:hAnsi="AdvPS5962"/>
          <w:color w:val="000000" w:themeColor="text1"/>
          <w:sz w:val="22"/>
          <w:lang w:eastAsia="fr-FR"/>
        </w:rPr>
      </w:pPr>
      <w:r w:rsidRPr="002306C8">
        <w:rPr>
          <w:rFonts w:ascii="AdvPS5962" w:hAnsi="AdvPS5962"/>
          <w:color w:val="000000" w:themeColor="text1"/>
          <w:sz w:val="22"/>
        </w:rPr>
        <w:t>Table 5: Children's dietary diversity scores</w:t>
      </w:r>
      <w:bookmarkEnd w:id="34"/>
      <w:r w:rsidRPr="002306C8">
        <w:rPr>
          <w:rFonts w:ascii="AdvPS5962" w:hAnsi="AdvPS5962"/>
          <w:color w:val="000000" w:themeColor="text1"/>
          <w:sz w:val="22"/>
        </w:rPr>
        <w:t xml:space="preserve"> in </w:t>
      </w:r>
      <w:proofErr w:type="spellStart"/>
      <w:r w:rsidRPr="002306C8">
        <w:rPr>
          <w:rFonts w:ascii="AdvPS5962" w:hAnsi="AdvPS5962"/>
          <w:color w:val="000000" w:themeColor="text1"/>
          <w:sz w:val="22"/>
        </w:rPr>
        <w:t>Ginir</w:t>
      </w:r>
      <w:proofErr w:type="spellEnd"/>
      <w:r w:rsidRPr="002306C8">
        <w:rPr>
          <w:rFonts w:ascii="AdvPS5962" w:hAnsi="AdvPS5962"/>
          <w:color w:val="000000" w:themeColor="text1"/>
          <w:sz w:val="22"/>
        </w:rPr>
        <w:t xml:space="preserve"> District from April 2024 to June 2024 (n=</w:t>
      </w:r>
      <w:r w:rsidRPr="002306C8">
        <w:rPr>
          <w:rFonts w:ascii="AdvPS5962" w:eastAsia="Times New Roman" w:hAnsi="AdvPS5962"/>
          <w:color w:val="000000" w:themeColor="text1"/>
          <w:sz w:val="22"/>
        </w:rPr>
        <w:t>746).</w:t>
      </w:r>
    </w:p>
    <w:tbl>
      <w:tblPr>
        <w:tblStyle w:val="TableGrid1"/>
        <w:tblW w:w="96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48"/>
        <w:gridCol w:w="1843"/>
        <w:gridCol w:w="1701"/>
        <w:gridCol w:w="1842"/>
      </w:tblGrid>
      <w:tr w:rsidR="002306C8" w:rsidRPr="002306C8" w:rsidTr="0082740D">
        <w:trPr>
          <w:trHeight w:val="311"/>
        </w:trPr>
        <w:tc>
          <w:tcPr>
            <w:tcW w:w="4248" w:type="dxa"/>
            <w:tcBorders>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0"/>
                <w:szCs w:val="20"/>
              </w:rPr>
            </w:pPr>
            <w:bookmarkStart w:id="35" w:name="_Toc178151332"/>
            <w:r w:rsidRPr="002306C8">
              <w:rPr>
                <w:rFonts w:ascii="AdvPS5962" w:hAnsi="AdvPS5962" w:cs="Times New Roman"/>
                <w:color w:val="000000" w:themeColor="text1"/>
                <w:sz w:val="20"/>
                <w:szCs w:val="20"/>
              </w:rPr>
              <w:t>Variables</w:t>
            </w:r>
          </w:p>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    </w:t>
            </w:r>
          </w:p>
        </w:tc>
        <w:tc>
          <w:tcPr>
            <w:tcW w:w="1843" w:type="dxa"/>
            <w:tcBorders>
              <w:bottom w:val="nil"/>
            </w:tcBorders>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0"/>
                <w:szCs w:val="20"/>
              </w:rPr>
            </w:pPr>
          </w:p>
        </w:tc>
        <w:tc>
          <w:tcPr>
            <w:tcW w:w="1701" w:type="dxa"/>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0"/>
                <w:szCs w:val="20"/>
              </w:rPr>
            </w:pPr>
            <w:r w:rsidRPr="002306C8">
              <w:rPr>
                <w:rFonts w:ascii="AdvPS5962" w:hAnsi="AdvPS5962" w:cs="Times New Roman"/>
                <w:color w:val="000000" w:themeColor="text1"/>
                <w:sz w:val="20"/>
                <w:szCs w:val="20"/>
              </w:rPr>
              <w:t>HG (n=374)</w:t>
            </w:r>
          </w:p>
        </w:tc>
        <w:tc>
          <w:tcPr>
            <w:tcW w:w="1842" w:type="dxa"/>
            <w:shd w:val="clear" w:color="auto" w:fill="F2F2F2" w:themeFill="background1" w:themeFillShade="F2"/>
          </w:tcPr>
          <w:p w:rsidR="002306C8" w:rsidRPr="002306C8" w:rsidRDefault="002306C8" w:rsidP="002306C8">
            <w:pPr>
              <w:pStyle w:val="Heading2"/>
              <w:spacing w:before="0"/>
              <w:outlineLvl w:val="1"/>
              <w:rPr>
                <w:rFonts w:ascii="AdvPS5962" w:hAnsi="AdvPS5962" w:cs="Times New Roman"/>
                <w:color w:val="000000" w:themeColor="text1"/>
                <w:sz w:val="20"/>
                <w:szCs w:val="20"/>
              </w:rPr>
            </w:pPr>
            <w:r w:rsidRPr="002306C8">
              <w:rPr>
                <w:rFonts w:ascii="AdvPS5962" w:hAnsi="AdvPS5962" w:cs="Times New Roman"/>
                <w:color w:val="000000" w:themeColor="text1"/>
                <w:sz w:val="20"/>
                <w:szCs w:val="20"/>
              </w:rPr>
              <w:t>HNG (n=372</w:t>
            </w:r>
          </w:p>
        </w:tc>
      </w:tr>
      <w:tr w:rsidR="002306C8" w:rsidRPr="002306C8" w:rsidTr="0082740D">
        <w:trPr>
          <w:trHeight w:val="278"/>
        </w:trPr>
        <w:tc>
          <w:tcPr>
            <w:tcW w:w="4248" w:type="dxa"/>
            <w:tcBorders>
              <w:top w:val="nil"/>
              <w:bottom w:val="single" w:sz="4" w:space="0" w:color="auto"/>
            </w:tcBorders>
            <w:shd w:val="clear" w:color="auto" w:fill="F2F2F2" w:themeFill="background1" w:themeFillShade="F2"/>
          </w:tcPr>
          <w:p w:rsidR="002306C8" w:rsidRPr="002306C8" w:rsidRDefault="002306C8" w:rsidP="002306C8">
            <w:pPr>
              <w:pStyle w:val="NormalWeb"/>
              <w:jc w:val="both"/>
              <w:rPr>
                <w:rFonts w:ascii="AdvPS5962" w:hAnsi="AdvPS5962"/>
                <w:color w:val="000000" w:themeColor="text1"/>
                <w:sz w:val="20"/>
                <w:szCs w:val="20"/>
              </w:rPr>
            </w:pPr>
          </w:p>
        </w:tc>
        <w:tc>
          <w:tcPr>
            <w:tcW w:w="1843" w:type="dxa"/>
            <w:tcBorders>
              <w:top w:val="nil"/>
              <w:bottom w:val="single" w:sz="4" w:space="0" w:color="auto"/>
            </w:tcBorders>
            <w:shd w:val="clear" w:color="auto" w:fill="F2F2F2" w:themeFill="background1" w:themeFillShade="F2"/>
          </w:tcPr>
          <w:p w:rsidR="002306C8" w:rsidRPr="002306C8" w:rsidRDefault="002306C8" w:rsidP="002306C8">
            <w:pPr>
              <w:pStyle w:val="NormalWeb"/>
              <w:spacing w:before="0" w:beforeAutospacing="0" w:after="160"/>
              <w:jc w:val="both"/>
              <w:rPr>
                <w:rFonts w:ascii="AdvPS5962" w:hAnsi="AdvPS5962"/>
                <w:color w:val="000000" w:themeColor="text1"/>
                <w:sz w:val="20"/>
                <w:szCs w:val="20"/>
              </w:rPr>
            </w:pPr>
          </w:p>
        </w:tc>
        <w:tc>
          <w:tcPr>
            <w:tcW w:w="1701" w:type="dxa"/>
            <w:tcBorders>
              <w:bottom w:val="single" w:sz="4" w:space="0" w:color="auto"/>
            </w:tcBorders>
            <w:shd w:val="clear" w:color="auto" w:fill="F2F2F2" w:themeFill="background1" w:themeFillShade="F2"/>
          </w:tcPr>
          <w:p w:rsidR="002306C8" w:rsidRPr="002306C8" w:rsidRDefault="002306C8" w:rsidP="00135F2C">
            <w:pPr>
              <w:pStyle w:val="NormalWeb"/>
              <w:spacing w:before="0" w:beforeAutospacing="0" w:after="160"/>
              <w:jc w:val="center"/>
              <w:rPr>
                <w:rFonts w:ascii="AdvPS5962" w:hAnsi="AdvPS5962"/>
                <w:color w:val="000000" w:themeColor="text1"/>
                <w:sz w:val="20"/>
                <w:szCs w:val="20"/>
              </w:rPr>
            </w:pPr>
            <w:r w:rsidRPr="002306C8">
              <w:rPr>
                <w:rFonts w:ascii="AdvPS5962" w:hAnsi="AdvPS5962"/>
                <w:color w:val="000000" w:themeColor="text1"/>
                <w:sz w:val="20"/>
                <w:szCs w:val="20"/>
              </w:rPr>
              <w:t>Frequency</w:t>
            </w:r>
            <w:r w:rsidR="00135F2C">
              <w:rPr>
                <w:rFonts w:ascii="AdvPS5962" w:hAnsi="AdvPS5962"/>
                <w:color w:val="000000" w:themeColor="text1"/>
                <w:sz w:val="20"/>
                <w:szCs w:val="20"/>
              </w:rPr>
              <w:t xml:space="preserve"> </w:t>
            </w:r>
            <w:r w:rsidRPr="002306C8">
              <w:rPr>
                <w:rFonts w:ascii="AdvPS5962" w:hAnsi="AdvPS5962"/>
                <w:color w:val="000000" w:themeColor="text1"/>
                <w:sz w:val="20"/>
                <w:szCs w:val="20"/>
              </w:rPr>
              <w:t>(</w:t>
            </w:r>
            <w:r w:rsidR="00135F2C">
              <w:rPr>
                <w:rFonts w:ascii="AdvPS5962" w:hAnsi="AdvPS5962"/>
                <w:color w:val="000000" w:themeColor="text1"/>
                <w:sz w:val="20"/>
                <w:szCs w:val="20"/>
              </w:rPr>
              <w:t>%</w:t>
            </w:r>
            <w:r w:rsidRPr="002306C8">
              <w:rPr>
                <w:rFonts w:ascii="AdvPS5962" w:hAnsi="AdvPS5962"/>
                <w:color w:val="000000" w:themeColor="text1"/>
                <w:sz w:val="20"/>
                <w:szCs w:val="20"/>
              </w:rPr>
              <w:t>)</w:t>
            </w:r>
          </w:p>
        </w:tc>
        <w:tc>
          <w:tcPr>
            <w:tcW w:w="1842" w:type="dxa"/>
            <w:tcBorders>
              <w:bottom w:val="single" w:sz="4" w:space="0" w:color="auto"/>
            </w:tcBorders>
            <w:shd w:val="clear" w:color="auto" w:fill="F2F2F2" w:themeFill="background1" w:themeFillShade="F2"/>
          </w:tcPr>
          <w:p w:rsidR="002306C8" w:rsidRPr="002306C8" w:rsidRDefault="002306C8" w:rsidP="00135F2C">
            <w:pPr>
              <w:pStyle w:val="NormalWeb"/>
              <w:spacing w:before="0" w:beforeAutospacing="0" w:after="160"/>
              <w:jc w:val="center"/>
              <w:rPr>
                <w:rFonts w:ascii="AdvPS5962" w:hAnsi="AdvPS5962"/>
                <w:color w:val="000000" w:themeColor="text1"/>
                <w:sz w:val="20"/>
                <w:szCs w:val="20"/>
              </w:rPr>
            </w:pPr>
            <w:r w:rsidRPr="002306C8">
              <w:rPr>
                <w:rFonts w:ascii="AdvPS5962" w:hAnsi="AdvPS5962"/>
                <w:color w:val="000000" w:themeColor="text1"/>
                <w:sz w:val="20"/>
                <w:szCs w:val="20"/>
              </w:rPr>
              <w:t>Frequency (</w:t>
            </w:r>
            <w:r w:rsidR="00135F2C">
              <w:rPr>
                <w:rFonts w:ascii="AdvPS5962" w:hAnsi="AdvPS5962"/>
                <w:color w:val="000000" w:themeColor="text1"/>
                <w:sz w:val="20"/>
                <w:szCs w:val="20"/>
              </w:rPr>
              <w:t>%</w:t>
            </w:r>
            <w:r w:rsidRPr="002306C8">
              <w:rPr>
                <w:rFonts w:ascii="AdvPS5962" w:hAnsi="AdvPS5962"/>
                <w:color w:val="000000" w:themeColor="text1"/>
                <w:sz w:val="20"/>
                <w:szCs w:val="20"/>
              </w:rPr>
              <w:t>)</w:t>
            </w:r>
          </w:p>
        </w:tc>
      </w:tr>
      <w:tr w:rsidR="002306C8" w:rsidRPr="002306C8" w:rsidTr="0082740D">
        <w:tc>
          <w:tcPr>
            <w:tcW w:w="4248" w:type="dxa"/>
            <w:tcBorders>
              <w:bottom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bCs/>
                <w:color w:val="000000" w:themeColor="text1"/>
                <w:sz w:val="20"/>
                <w:szCs w:val="20"/>
              </w:rPr>
              <w:t>Grains, roots, and tubers</w:t>
            </w:r>
          </w:p>
        </w:tc>
        <w:tc>
          <w:tcPr>
            <w:tcW w:w="1843" w:type="dxa"/>
            <w:tcBorders>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 Yes </w:t>
            </w:r>
          </w:p>
        </w:tc>
        <w:tc>
          <w:tcPr>
            <w:tcW w:w="1701" w:type="dxa"/>
            <w:tcBorders>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352 (94)</w:t>
            </w:r>
          </w:p>
        </w:tc>
        <w:tc>
          <w:tcPr>
            <w:tcW w:w="1842" w:type="dxa"/>
            <w:tcBorders>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321 (86.3)</w:t>
            </w:r>
          </w:p>
        </w:tc>
      </w:tr>
      <w:tr w:rsidR="002306C8" w:rsidRPr="002306C8" w:rsidTr="0082740D">
        <w:tc>
          <w:tcPr>
            <w:tcW w:w="4248" w:type="dxa"/>
            <w:tcBorders>
              <w:top w:val="nil"/>
              <w:bottom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  No</w:t>
            </w:r>
          </w:p>
        </w:tc>
        <w:tc>
          <w:tcPr>
            <w:tcW w:w="1701"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22 (6)</w:t>
            </w:r>
          </w:p>
        </w:tc>
        <w:tc>
          <w:tcPr>
            <w:tcW w:w="1842"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51 (13.7)</w:t>
            </w:r>
          </w:p>
        </w:tc>
      </w:tr>
      <w:tr w:rsidR="002306C8" w:rsidRPr="002306C8" w:rsidTr="0082740D">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bCs/>
                <w:color w:val="000000" w:themeColor="text1"/>
                <w:sz w:val="20"/>
                <w:szCs w:val="20"/>
              </w:rPr>
              <w:t>Legumes, nuts, and seeds</w:t>
            </w: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 Yes </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273 (73)</w:t>
            </w:r>
          </w:p>
        </w:tc>
        <w:tc>
          <w:tcPr>
            <w:tcW w:w="1842"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236 (63.4)</w:t>
            </w:r>
          </w:p>
        </w:tc>
      </w:tr>
      <w:tr w:rsidR="002306C8" w:rsidRPr="002306C8" w:rsidTr="0082740D">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 No</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101 (27)</w:t>
            </w:r>
          </w:p>
        </w:tc>
        <w:tc>
          <w:tcPr>
            <w:tcW w:w="1842"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136 (36.6)</w:t>
            </w:r>
          </w:p>
        </w:tc>
      </w:tr>
      <w:tr w:rsidR="002306C8" w:rsidRPr="002306C8" w:rsidTr="0082740D">
        <w:tc>
          <w:tcPr>
            <w:tcW w:w="4248" w:type="dxa"/>
            <w:tcBorders>
              <w:top w:val="nil"/>
              <w:bottom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bCs/>
                <w:color w:val="000000" w:themeColor="text1"/>
                <w:sz w:val="20"/>
                <w:szCs w:val="20"/>
              </w:rPr>
              <w:t>Dairy products</w:t>
            </w: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222 (59.3)</w:t>
            </w:r>
          </w:p>
        </w:tc>
        <w:tc>
          <w:tcPr>
            <w:tcW w:w="1842"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260 (69.9)</w:t>
            </w:r>
          </w:p>
        </w:tc>
      </w:tr>
      <w:tr w:rsidR="002306C8" w:rsidRPr="002306C8" w:rsidTr="0082740D">
        <w:trPr>
          <w:trHeight w:val="188"/>
        </w:trPr>
        <w:tc>
          <w:tcPr>
            <w:tcW w:w="4248" w:type="dxa"/>
            <w:tcBorders>
              <w:top w:val="nil"/>
              <w:bottom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152 (40.6)</w:t>
            </w:r>
          </w:p>
        </w:tc>
        <w:tc>
          <w:tcPr>
            <w:tcW w:w="1842" w:type="dxa"/>
            <w:tcBorders>
              <w:top w:val="nil"/>
              <w:bottom w:val="nil"/>
            </w:tcBorders>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112 (30.1)</w:t>
            </w:r>
          </w:p>
        </w:tc>
      </w:tr>
      <w:tr w:rsidR="002306C8" w:rsidRPr="002306C8" w:rsidTr="0082740D">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bCs/>
                <w:color w:val="000000" w:themeColor="text1"/>
                <w:sz w:val="20"/>
                <w:szCs w:val="20"/>
              </w:rPr>
              <w:t>Flesh foods</w:t>
            </w: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32 (8.5)</w:t>
            </w:r>
          </w:p>
        </w:tc>
        <w:tc>
          <w:tcPr>
            <w:tcW w:w="1842"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37 (9.9)</w:t>
            </w:r>
          </w:p>
        </w:tc>
      </w:tr>
      <w:tr w:rsidR="002306C8" w:rsidRPr="002306C8" w:rsidTr="0082740D">
        <w:trPr>
          <w:trHeight w:val="233"/>
        </w:trPr>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342 (91.5)</w:t>
            </w:r>
          </w:p>
        </w:tc>
        <w:tc>
          <w:tcPr>
            <w:tcW w:w="1842"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center"/>
              <w:rPr>
                <w:rFonts w:ascii="AdvPS5962" w:hAnsi="AdvPS5962"/>
                <w:color w:val="000000" w:themeColor="text1"/>
                <w:sz w:val="20"/>
                <w:szCs w:val="20"/>
              </w:rPr>
            </w:pPr>
            <w:r w:rsidRPr="002306C8">
              <w:rPr>
                <w:rFonts w:ascii="AdvPS5962" w:hAnsi="AdvPS5962"/>
                <w:color w:val="000000" w:themeColor="text1"/>
                <w:sz w:val="20"/>
                <w:szCs w:val="20"/>
              </w:rPr>
              <w:t>335 (90.1)</w:t>
            </w:r>
          </w:p>
        </w:tc>
      </w:tr>
      <w:tr w:rsidR="002306C8" w:rsidRPr="002306C8" w:rsidTr="0082740D">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color w:val="000000" w:themeColor="text1"/>
                <w:sz w:val="20"/>
                <w:szCs w:val="20"/>
              </w:rPr>
              <w:t>Eggs</w:t>
            </w: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108 (28.9)</w:t>
            </w:r>
          </w:p>
        </w:tc>
        <w:tc>
          <w:tcPr>
            <w:tcW w:w="1842" w:type="dxa"/>
            <w:tcBorders>
              <w:top w:val="nil"/>
              <w:bottom w:val="nil"/>
            </w:tcBorders>
            <w:shd w:val="clear" w:color="auto" w:fill="F2F2F2" w:themeFill="background1" w:themeFillShade="F2"/>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 xml:space="preserve"> 87 (23.4)</w:t>
            </w:r>
          </w:p>
        </w:tc>
      </w:tr>
      <w:tr w:rsidR="002306C8" w:rsidRPr="002306C8" w:rsidTr="0082740D">
        <w:trPr>
          <w:trHeight w:val="332"/>
        </w:trPr>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266 (71.1)</w:t>
            </w:r>
          </w:p>
        </w:tc>
        <w:tc>
          <w:tcPr>
            <w:tcW w:w="1842" w:type="dxa"/>
            <w:tcBorders>
              <w:top w:val="nil"/>
              <w:bottom w:val="nil"/>
            </w:tcBorders>
            <w:shd w:val="clear" w:color="auto" w:fill="F2F2F2" w:themeFill="background1" w:themeFillShade="F2"/>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285 (76.6)</w:t>
            </w:r>
          </w:p>
        </w:tc>
      </w:tr>
      <w:tr w:rsidR="002306C8" w:rsidRPr="002306C8" w:rsidTr="0082740D">
        <w:tc>
          <w:tcPr>
            <w:tcW w:w="4248" w:type="dxa"/>
            <w:tcBorders>
              <w:top w:val="nil"/>
              <w:bottom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r w:rsidRPr="002306C8">
              <w:rPr>
                <w:rFonts w:ascii="AdvPS5962" w:hAnsi="AdvPS5962"/>
                <w:color w:val="000000" w:themeColor="text1"/>
                <w:sz w:val="20"/>
                <w:szCs w:val="20"/>
              </w:rPr>
              <w:t>Vitamin A-rich fruits and vegetables</w:t>
            </w: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180 (48.1)</w:t>
            </w:r>
          </w:p>
        </w:tc>
        <w:tc>
          <w:tcPr>
            <w:tcW w:w="1842" w:type="dxa"/>
            <w:tcBorders>
              <w:top w:val="nil"/>
              <w:bottom w:val="nil"/>
            </w:tcBorders>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152 (40.9)</w:t>
            </w:r>
          </w:p>
        </w:tc>
      </w:tr>
      <w:tr w:rsidR="002306C8" w:rsidRPr="002306C8" w:rsidTr="0082740D">
        <w:trPr>
          <w:trHeight w:val="180"/>
        </w:trPr>
        <w:tc>
          <w:tcPr>
            <w:tcW w:w="4248" w:type="dxa"/>
            <w:tcBorders>
              <w:top w:val="nil"/>
              <w:bottom w:val="nil"/>
            </w:tcBorders>
          </w:tcPr>
          <w:p w:rsidR="002306C8" w:rsidRPr="002306C8" w:rsidRDefault="002306C8" w:rsidP="002306C8">
            <w:pPr>
              <w:pStyle w:val="NormalWeb"/>
              <w:spacing w:before="0" w:beforeAutospacing="0" w:after="160"/>
              <w:jc w:val="both"/>
              <w:rPr>
                <w:rFonts w:ascii="AdvPS5962" w:hAnsi="AdvPS5962"/>
                <w:color w:val="000000" w:themeColor="text1"/>
                <w:sz w:val="20"/>
                <w:szCs w:val="20"/>
              </w:rPr>
            </w:pP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bottom w:val="nil"/>
            </w:tcBorders>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194 (51.9)</w:t>
            </w:r>
          </w:p>
        </w:tc>
        <w:tc>
          <w:tcPr>
            <w:tcW w:w="1842" w:type="dxa"/>
            <w:tcBorders>
              <w:top w:val="nil"/>
              <w:bottom w:val="nil"/>
            </w:tcBorders>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 xml:space="preserve"> 220 (59.1)</w:t>
            </w:r>
          </w:p>
        </w:tc>
      </w:tr>
      <w:tr w:rsidR="002306C8" w:rsidRPr="002306C8" w:rsidTr="0082740D">
        <w:trPr>
          <w:trHeight w:val="270"/>
        </w:trPr>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jc w:val="both"/>
              <w:rPr>
                <w:rFonts w:ascii="AdvPS5962" w:hAnsi="AdvPS5962"/>
                <w:color w:val="000000" w:themeColor="text1"/>
                <w:sz w:val="20"/>
                <w:szCs w:val="20"/>
              </w:rPr>
            </w:pPr>
            <w:r w:rsidRPr="002306C8">
              <w:rPr>
                <w:rFonts w:ascii="AdvPS5962" w:hAnsi="AdvPS5962"/>
                <w:color w:val="000000" w:themeColor="text1"/>
                <w:sz w:val="20"/>
                <w:szCs w:val="20"/>
              </w:rPr>
              <w:t>Other fruits and vegetables</w:t>
            </w: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72 (19.2)</w:t>
            </w:r>
          </w:p>
        </w:tc>
        <w:tc>
          <w:tcPr>
            <w:tcW w:w="1842" w:type="dxa"/>
            <w:tcBorders>
              <w:top w:val="nil"/>
              <w:bottom w:val="nil"/>
            </w:tcBorders>
            <w:shd w:val="clear" w:color="auto" w:fill="F2F2F2" w:themeFill="background1" w:themeFillShade="F2"/>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 xml:space="preserve"> 59 (15.9)</w:t>
            </w:r>
          </w:p>
        </w:tc>
      </w:tr>
      <w:tr w:rsidR="002306C8" w:rsidRPr="002306C8" w:rsidTr="0082740D">
        <w:trPr>
          <w:trHeight w:val="225"/>
        </w:trPr>
        <w:tc>
          <w:tcPr>
            <w:tcW w:w="4248"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jc w:val="both"/>
              <w:rPr>
                <w:rFonts w:ascii="AdvPS5962" w:hAnsi="AdvPS5962"/>
                <w:color w:val="000000" w:themeColor="text1"/>
                <w:sz w:val="20"/>
                <w:szCs w:val="20"/>
              </w:rPr>
            </w:pPr>
          </w:p>
        </w:tc>
        <w:tc>
          <w:tcPr>
            <w:tcW w:w="1843" w:type="dxa"/>
            <w:tcBorders>
              <w:top w:val="nil"/>
              <w:bottom w:val="nil"/>
            </w:tcBorders>
            <w:shd w:val="clear" w:color="auto" w:fill="F2F2F2" w:themeFill="background1" w:themeFillShade="F2"/>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bottom w:val="nil"/>
            </w:tcBorders>
            <w:shd w:val="clear" w:color="auto" w:fill="F2F2F2" w:themeFill="background1" w:themeFillShade="F2"/>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302 (80.8)</w:t>
            </w:r>
          </w:p>
        </w:tc>
        <w:tc>
          <w:tcPr>
            <w:tcW w:w="1842" w:type="dxa"/>
            <w:tcBorders>
              <w:top w:val="nil"/>
              <w:bottom w:val="nil"/>
            </w:tcBorders>
            <w:shd w:val="clear" w:color="auto" w:fill="F2F2F2" w:themeFill="background1" w:themeFillShade="F2"/>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313 (84.1)</w:t>
            </w:r>
          </w:p>
        </w:tc>
      </w:tr>
      <w:tr w:rsidR="002306C8" w:rsidRPr="002306C8" w:rsidTr="0082740D">
        <w:trPr>
          <w:trHeight w:val="218"/>
        </w:trPr>
        <w:tc>
          <w:tcPr>
            <w:tcW w:w="4248" w:type="dxa"/>
            <w:tcBorders>
              <w:top w:val="nil"/>
              <w:bottom w:val="nil"/>
            </w:tcBorders>
          </w:tcPr>
          <w:p w:rsidR="002306C8" w:rsidRPr="002306C8" w:rsidRDefault="002306C8" w:rsidP="002306C8">
            <w:pPr>
              <w:pStyle w:val="NormalWeb"/>
              <w:spacing w:before="0" w:beforeAutospacing="0" w:after="160"/>
              <w:jc w:val="both"/>
              <w:rPr>
                <w:rFonts w:ascii="AdvPS5962" w:hAnsi="AdvPS5962"/>
                <w:color w:val="000000" w:themeColor="text1"/>
                <w:sz w:val="20"/>
                <w:szCs w:val="20"/>
              </w:rPr>
            </w:pPr>
            <w:r w:rsidRPr="002306C8">
              <w:rPr>
                <w:rFonts w:ascii="AdvPS5962" w:hAnsi="AdvPS5962"/>
                <w:color w:val="000000" w:themeColor="text1"/>
                <w:sz w:val="20"/>
                <w:szCs w:val="20"/>
              </w:rPr>
              <w:t>Breastfeeding</w:t>
            </w:r>
          </w:p>
        </w:tc>
        <w:tc>
          <w:tcPr>
            <w:tcW w:w="1843" w:type="dxa"/>
            <w:tcBorders>
              <w:top w:val="nil"/>
              <w:bottom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 xml:space="preserve">Yes </w:t>
            </w:r>
          </w:p>
        </w:tc>
        <w:tc>
          <w:tcPr>
            <w:tcW w:w="1701" w:type="dxa"/>
            <w:tcBorders>
              <w:top w:val="nil"/>
              <w:bottom w:val="nil"/>
            </w:tcBorders>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240 (89.2)</w:t>
            </w:r>
          </w:p>
        </w:tc>
        <w:tc>
          <w:tcPr>
            <w:tcW w:w="1842" w:type="dxa"/>
            <w:tcBorders>
              <w:top w:val="nil"/>
              <w:bottom w:val="nil"/>
            </w:tcBorders>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193 (93.7)</w:t>
            </w:r>
          </w:p>
        </w:tc>
      </w:tr>
      <w:tr w:rsidR="002306C8" w:rsidRPr="002306C8" w:rsidTr="0082740D">
        <w:trPr>
          <w:trHeight w:val="270"/>
        </w:trPr>
        <w:tc>
          <w:tcPr>
            <w:tcW w:w="4248" w:type="dxa"/>
            <w:tcBorders>
              <w:top w:val="nil"/>
            </w:tcBorders>
          </w:tcPr>
          <w:p w:rsidR="002306C8" w:rsidRPr="002306C8" w:rsidRDefault="002306C8" w:rsidP="002306C8">
            <w:pPr>
              <w:pStyle w:val="NormalWeb"/>
              <w:spacing w:before="0" w:beforeAutospacing="0"/>
              <w:jc w:val="both"/>
              <w:rPr>
                <w:rFonts w:ascii="AdvPS5962" w:hAnsi="AdvPS5962"/>
                <w:color w:val="000000" w:themeColor="text1"/>
                <w:sz w:val="20"/>
                <w:szCs w:val="20"/>
              </w:rPr>
            </w:pPr>
          </w:p>
        </w:tc>
        <w:tc>
          <w:tcPr>
            <w:tcW w:w="1843" w:type="dxa"/>
            <w:tcBorders>
              <w:top w:val="nil"/>
            </w:tcBorders>
          </w:tcPr>
          <w:p w:rsidR="002306C8" w:rsidRPr="002306C8" w:rsidRDefault="002306C8" w:rsidP="002306C8">
            <w:pPr>
              <w:pStyle w:val="NormalWeb"/>
              <w:spacing w:before="0" w:beforeAutospacing="0" w:after="160" w:afterAutospacing="0"/>
              <w:jc w:val="both"/>
              <w:rPr>
                <w:rFonts w:ascii="AdvPS5962" w:hAnsi="AdvPS5962"/>
                <w:color w:val="000000" w:themeColor="text1"/>
                <w:sz w:val="20"/>
                <w:szCs w:val="20"/>
              </w:rPr>
            </w:pPr>
            <w:r w:rsidRPr="002306C8">
              <w:rPr>
                <w:rFonts w:ascii="AdvPS5962" w:hAnsi="AdvPS5962"/>
                <w:color w:val="000000" w:themeColor="text1"/>
                <w:sz w:val="20"/>
                <w:szCs w:val="20"/>
              </w:rPr>
              <w:t>No</w:t>
            </w:r>
          </w:p>
        </w:tc>
        <w:tc>
          <w:tcPr>
            <w:tcW w:w="1701" w:type="dxa"/>
            <w:tcBorders>
              <w:top w:val="nil"/>
            </w:tcBorders>
          </w:tcPr>
          <w:p w:rsidR="002306C8" w:rsidRPr="002306C8" w:rsidRDefault="002306C8" w:rsidP="00135F2C">
            <w:pPr>
              <w:pStyle w:val="NormalWeb"/>
              <w:spacing w:before="0" w:beforeAutospacing="0" w:after="160" w:afterAutospacing="0"/>
              <w:jc w:val="right"/>
              <w:rPr>
                <w:rFonts w:ascii="AdvPS5962" w:hAnsi="AdvPS5962"/>
                <w:color w:val="000000" w:themeColor="text1"/>
                <w:sz w:val="20"/>
                <w:szCs w:val="20"/>
              </w:rPr>
            </w:pPr>
            <w:r w:rsidRPr="002306C8">
              <w:rPr>
                <w:rFonts w:ascii="AdvPS5962" w:hAnsi="AdvPS5962"/>
                <w:color w:val="000000" w:themeColor="text1"/>
                <w:sz w:val="20"/>
                <w:szCs w:val="20"/>
              </w:rPr>
              <w:t xml:space="preserve"> 29 (10.8)</w:t>
            </w:r>
          </w:p>
        </w:tc>
        <w:tc>
          <w:tcPr>
            <w:tcW w:w="1842" w:type="dxa"/>
            <w:tcBorders>
              <w:top w:val="nil"/>
            </w:tcBorders>
          </w:tcPr>
          <w:p w:rsidR="002306C8" w:rsidRPr="002306C8" w:rsidRDefault="00A07E49" w:rsidP="00A07E49">
            <w:pPr>
              <w:pStyle w:val="NormalWeb"/>
              <w:spacing w:before="0" w:beforeAutospacing="0" w:after="160" w:afterAutospacing="0"/>
              <w:jc w:val="center"/>
              <w:rPr>
                <w:rFonts w:ascii="AdvPS5962" w:hAnsi="AdvPS5962"/>
                <w:color w:val="000000" w:themeColor="text1"/>
                <w:sz w:val="20"/>
                <w:szCs w:val="20"/>
              </w:rPr>
            </w:pPr>
            <w:r>
              <w:rPr>
                <w:rFonts w:ascii="AdvPS5962" w:hAnsi="AdvPS5962"/>
                <w:color w:val="000000" w:themeColor="text1"/>
                <w:sz w:val="20"/>
                <w:szCs w:val="20"/>
              </w:rPr>
              <w:t xml:space="preserve">         </w:t>
            </w:r>
            <w:r w:rsidR="002306C8" w:rsidRPr="002306C8">
              <w:rPr>
                <w:rFonts w:ascii="AdvPS5962" w:hAnsi="AdvPS5962"/>
                <w:color w:val="000000" w:themeColor="text1"/>
                <w:sz w:val="20"/>
                <w:szCs w:val="20"/>
              </w:rPr>
              <w:t>13 (6.3)</w:t>
            </w:r>
          </w:p>
        </w:tc>
      </w:tr>
    </w:tbl>
    <w:p w:rsidR="002306C8" w:rsidRPr="008E7845" w:rsidRDefault="002306C8" w:rsidP="002306C8">
      <w:pPr>
        <w:pStyle w:val="NoSpacing"/>
        <w:rPr>
          <w:rFonts w:ascii="AdvPS5962" w:hAnsi="AdvPS5962" w:cs="Times New Roman"/>
          <w:i/>
          <w:color w:val="000000" w:themeColor="text1"/>
          <w:sz w:val="20"/>
        </w:rPr>
      </w:pPr>
      <w:r w:rsidRPr="008E7845">
        <w:rPr>
          <w:rFonts w:ascii="AdvPS5962" w:hAnsi="AdvPS5962" w:cs="Times New Roman"/>
          <w:i/>
          <w:color w:val="000000" w:themeColor="text1"/>
          <w:sz w:val="20"/>
        </w:rPr>
        <w:t>HG</w:t>
      </w:r>
      <w:r w:rsidR="008E7845" w:rsidRPr="008E7845">
        <w:rPr>
          <w:rFonts w:ascii="AdvPS5962" w:hAnsi="AdvPS5962" w:cs="Times New Roman"/>
          <w:i/>
          <w:color w:val="000000" w:themeColor="text1"/>
          <w:sz w:val="20"/>
        </w:rPr>
        <w:t>-</w:t>
      </w:r>
      <w:r w:rsidRPr="008E7845">
        <w:rPr>
          <w:rFonts w:ascii="AdvPS5962" w:hAnsi="AdvPS5962" w:cs="Times New Roman"/>
          <w:i/>
          <w:color w:val="000000" w:themeColor="text1"/>
          <w:sz w:val="20"/>
        </w:rPr>
        <w:t>households with home gardens, HNG</w:t>
      </w:r>
      <w:r w:rsidR="008E7845" w:rsidRPr="008E7845">
        <w:rPr>
          <w:rFonts w:ascii="AdvPS5962" w:hAnsi="AdvPS5962" w:cs="Times New Roman"/>
          <w:i/>
          <w:color w:val="000000" w:themeColor="text1"/>
          <w:sz w:val="20"/>
        </w:rPr>
        <w:t>-</w:t>
      </w:r>
      <w:r w:rsidRPr="008E7845">
        <w:rPr>
          <w:rFonts w:ascii="AdvPS5962" w:hAnsi="AdvPS5962" w:cs="Times New Roman"/>
          <w:i/>
          <w:color w:val="000000" w:themeColor="text1"/>
          <w:sz w:val="20"/>
        </w:rPr>
        <w:t>households without home gardens</w:t>
      </w:r>
    </w:p>
    <w:p w:rsidR="002306C8" w:rsidRDefault="002306C8" w:rsidP="002306C8">
      <w:pPr>
        <w:pStyle w:val="NoSpacing"/>
        <w:spacing w:before="120" w:after="120" w:line="360" w:lineRule="auto"/>
        <w:rPr>
          <w:rFonts w:ascii="AdvPS5962" w:hAnsi="AdvPS5962" w:cs="Times New Roman"/>
          <w:b/>
          <w:color w:val="000000" w:themeColor="text1"/>
          <w:sz w:val="24"/>
        </w:rPr>
        <w:sectPr w:rsidR="002306C8" w:rsidSect="002306C8">
          <w:type w:val="continuous"/>
          <w:pgSz w:w="12240" w:h="15840"/>
          <w:pgMar w:top="1276" w:right="1183" w:bottom="1440" w:left="1440" w:header="720" w:footer="720" w:gutter="0"/>
          <w:cols w:space="332"/>
          <w:docGrid w:linePitch="360"/>
        </w:sectPr>
      </w:pPr>
    </w:p>
    <w:p w:rsidR="002306C8" w:rsidRPr="002306C8" w:rsidRDefault="002306C8" w:rsidP="002306C8">
      <w:pPr>
        <w:pStyle w:val="NoSpacing"/>
        <w:spacing w:before="120" w:after="120" w:line="360" w:lineRule="auto"/>
        <w:rPr>
          <w:rFonts w:ascii="AdvPS5962" w:hAnsi="AdvPS5962" w:cs="Times New Roman"/>
          <w:b/>
          <w:color w:val="000000" w:themeColor="text1"/>
          <w:sz w:val="24"/>
        </w:rPr>
      </w:pPr>
      <w:r w:rsidRPr="002306C8">
        <w:rPr>
          <w:rFonts w:ascii="AdvPS5962" w:hAnsi="AdvPS5962" w:cs="Times New Roman"/>
          <w:b/>
          <w:color w:val="000000" w:themeColor="text1"/>
          <w:sz w:val="24"/>
        </w:rPr>
        <w:t>Prevalence of dietary diversity scores</w:t>
      </w:r>
      <w:bookmarkEnd w:id="35"/>
    </w:p>
    <w:p w:rsidR="002306C8" w:rsidRPr="002306C8" w:rsidRDefault="002306C8" w:rsidP="002306C8">
      <w:pPr>
        <w:spacing w:before="120" w:after="120" w:line="360" w:lineRule="auto"/>
        <w:jc w:val="both"/>
        <w:rPr>
          <w:rFonts w:ascii="AdvPS5962" w:eastAsia="Times New Roman" w:hAnsi="AdvPS5962" w:cs="Times New Roman"/>
          <w:color w:val="000000" w:themeColor="text1"/>
          <w:szCs w:val="24"/>
        </w:rPr>
      </w:pPr>
      <w:r w:rsidRPr="002306C8">
        <w:rPr>
          <w:rFonts w:ascii="AdvPS5962" w:eastAsia="Times New Roman" w:hAnsi="AdvPS5962" w:cs="Times New Roman"/>
          <w:color w:val="000000" w:themeColor="text1"/>
          <w:szCs w:val="24"/>
        </w:rPr>
        <w:t xml:space="preserve">The overall prevalence of poor dietary diversity scores among children aged 6-59 months and </w:t>
      </w:r>
      <w:r w:rsidRPr="002306C8">
        <w:rPr>
          <w:rFonts w:ascii="AdvPS5962" w:eastAsia="Times New Roman" w:hAnsi="AdvPS5962" w:cs="Times New Roman"/>
          <w:color w:val="000000" w:themeColor="text1"/>
          <w:szCs w:val="24"/>
        </w:rPr>
        <w:t xml:space="preserve">between 2 months living in a household with home gardens was 30.5%, while 19.1% in households without home gardens (Fig 1).  </w:t>
      </w:r>
    </w:p>
    <w:p w:rsidR="002306C8" w:rsidRDefault="002306C8" w:rsidP="002306C8">
      <w:pPr>
        <w:spacing w:line="360" w:lineRule="auto"/>
        <w:jc w:val="both"/>
        <w:rPr>
          <w:rFonts w:ascii="AdvPS5962" w:eastAsia="Times New Roman" w:hAnsi="AdvPS5962" w:cs="Times New Roman"/>
          <w:color w:val="000000" w:themeColor="text1"/>
          <w:szCs w:val="24"/>
        </w:rPr>
        <w:sectPr w:rsidR="002306C8" w:rsidSect="002306C8">
          <w:type w:val="continuous"/>
          <w:pgSz w:w="12240" w:h="15840"/>
          <w:pgMar w:top="1276" w:right="1183" w:bottom="1440" w:left="1440" w:header="720" w:footer="720" w:gutter="0"/>
          <w:cols w:num="2" w:space="332"/>
          <w:docGrid w:linePitch="360"/>
        </w:sectPr>
      </w:pPr>
    </w:p>
    <w:p w:rsidR="002306C8" w:rsidRPr="002306C8" w:rsidRDefault="002306C8" w:rsidP="002306C8">
      <w:pPr>
        <w:spacing w:line="360" w:lineRule="auto"/>
        <w:jc w:val="both"/>
        <w:rPr>
          <w:rFonts w:ascii="AdvPS5962" w:eastAsia="Times New Roman" w:hAnsi="AdvPS5962" w:cs="Times New Roman"/>
          <w:color w:val="000000" w:themeColor="text1"/>
          <w:szCs w:val="24"/>
        </w:rPr>
      </w:pPr>
      <w:r w:rsidRPr="002306C8">
        <w:rPr>
          <w:rFonts w:ascii="AdvPS5962" w:hAnsi="AdvPS5962" w:cs="Times New Roman"/>
          <w:noProof/>
          <w:color w:val="000000" w:themeColor="text1"/>
        </w:rPr>
        <w:drawing>
          <wp:inline distT="0" distB="0" distL="0" distR="0" wp14:anchorId="65B12A32" wp14:editId="49C22B2C">
            <wp:extent cx="5445369" cy="2965939"/>
            <wp:effectExtent l="0" t="0" r="317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06C8" w:rsidRPr="00A07E49" w:rsidRDefault="002306C8" w:rsidP="002306C8">
      <w:pPr>
        <w:pStyle w:val="FiIg"/>
        <w:spacing w:line="240" w:lineRule="auto"/>
        <w:jc w:val="both"/>
        <w:rPr>
          <w:rFonts w:ascii="AdvPS5962" w:hAnsi="AdvPS5962" w:cs="Times New Roman"/>
          <w:b/>
          <w:strike/>
          <w:color w:val="FF0000"/>
          <w:sz w:val="24"/>
          <w:szCs w:val="24"/>
        </w:rPr>
      </w:pPr>
      <w:bookmarkStart w:id="36" w:name="_Toc179373257"/>
      <w:r w:rsidRPr="002306C8">
        <w:rPr>
          <w:rFonts w:ascii="AdvPS5962" w:hAnsi="AdvPS5962" w:cs="Times New Roman"/>
          <w:color w:val="000000" w:themeColor="text1"/>
          <w:sz w:val="24"/>
          <w:szCs w:val="24"/>
        </w:rPr>
        <w:lastRenderedPageBreak/>
        <w:t xml:space="preserve">Figure 1: Prevalence of dietary diversity scores among children </w:t>
      </w:r>
      <w:bookmarkEnd w:id="36"/>
      <w:r w:rsidRPr="002306C8">
        <w:rPr>
          <w:rFonts w:ascii="AdvPS5962" w:hAnsi="AdvPS5962" w:cs="Times New Roman"/>
          <w:color w:val="000000" w:themeColor="text1"/>
          <w:sz w:val="24"/>
          <w:szCs w:val="24"/>
        </w:rPr>
        <w:t xml:space="preserve">in households with and without home gardens in </w:t>
      </w:r>
      <w:proofErr w:type="spellStart"/>
      <w:r w:rsidRPr="002306C8">
        <w:rPr>
          <w:rFonts w:ascii="AdvPS5962" w:hAnsi="AdvPS5962" w:cs="Times New Roman"/>
          <w:color w:val="000000" w:themeColor="text1"/>
          <w:sz w:val="24"/>
          <w:szCs w:val="24"/>
        </w:rPr>
        <w:t>Ginir</w:t>
      </w:r>
      <w:proofErr w:type="spellEnd"/>
      <w:r w:rsidRPr="002306C8">
        <w:rPr>
          <w:rFonts w:ascii="AdvPS5962" w:hAnsi="AdvPS5962" w:cs="Times New Roman"/>
          <w:color w:val="000000" w:themeColor="text1"/>
          <w:sz w:val="24"/>
          <w:szCs w:val="24"/>
        </w:rPr>
        <w:t xml:space="preserve"> district from April 2024 to June 2024 (n=</w:t>
      </w:r>
      <w:r w:rsidRPr="002306C8">
        <w:rPr>
          <w:rFonts w:ascii="AdvPS5962" w:eastAsia="Times New Roman" w:hAnsi="AdvPS5962" w:cs="Times New Roman"/>
          <w:color w:val="000000" w:themeColor="text1"/>
          <w:sz w:val="24"/>
          <w:szCs w:val="24"/>
        </w:rPr>
        <w:t>746)</w:t>
      </w:r>
      <w:r w:rsidR="00A07E49" w:rsidRPr="00A07E49">
        <w:rPr>
          <w:rFonts w:ascii="AdvPS5962" w:eastAsia="Times New Roman" w:hAnsi="AdvPS5962" w:cs="Times New Roman"/>
          <w:color w:val="000000" w:themeColor="text1"/>
          <w:sz w:val="24"/>
          <w:szCs w:val="24"/>
          <w:highlight w:val="yellow"/>
        </w:rPr>
        <w:t>.</w:t>
      </w:r>
      <w:r w:rsidR="008E7845">
        <w:rPr>
          <w:rFonts w:ascii="AdvPS5962" w:eastAsia="Times New Roman" w:hAnsi="AdvPS5962" w:cs="Times New Roman"/>
          <w:color w:val="000000" w:themeColor="text1"/>
          <w:sz w:val="24"/>
          <w:szCs w:val="24"/>
        </w:rPr>
        <w:t xml:space="preserve"> </w:t>
      </w:r>
    </w:p>
    <w:p w:rsidR="002306C8" w:rsidRPr="002306C8" w:rsidRDefault="00454A2C" w:rsidP="002306C8">
      <w:pPr>
        <w:autoSpaceDE w:val="0"/>
        <w:autoSpaceDN w:val="0"/>
        <w:adjustRightInd w:val="0"/>
        <w:spacing w:before="120" w:after="120" w:line="360" w:lineRule="auto"/>
        <w:ind w:left="-450"/>
        <w:rPr>
          <w:rFonts w:ascii="AdvPS5962" w:eastAsia="Times New Roman" w:hAnsi="AdvPS5962" w:cs="Times New Roman"/>
          <w:b/>
          <w:color w:val="000000" w:themeColor="text1"/>
          <w:szCs w:val="24"/>
        </w:rPr>
      </w:pPr>
      <w:r>
        <w:rPr>
          <w:rFonts w:ascii="AdvPS5962" w:eastAsia="Times New Roman" w:hAnsi="AdvPS5962" w:cs="Times New Roman"/>
          <w:b/>
          <w:color w:val="000000" w:themeColor="text1"/>
          <w:szCs w:val="24"/>
        </w:rPr>
        <w:t>F</w:t>
      </w:r>
      <w:r w:rsidR="002306C8" w:rsidRPr="002306C8">
        <w:rPr>
          <w:rFonts w:ascii="AdvPS5962" w:eastAsia="Times New Roman" w:hAnsi="AdvPS5962" w:cs="Times New Roman"/>
          <w:b/>
          <w:color w:val="000000" w:themeColor="text1"/>
          <w:szCs w:val="24"/>
        </w:rPr>
        <w:t xml:space="preserve">actors associated with dietary diversity scores among children in households with and without home gardens </w:t>
      </w:r>
    </w:p>
    <w:p w:rsidR="00454A2C" w:rsidRDefault="00454A2C" w:rsidP="002306C8">
      <w:pPr>
        <w:autoSpaceDE w:val="0"/>
        <w:autoSpaceDN w:val="0"/>
        <w:adjustRightInd w:val="0"/>
        <w:spacing w:before="120" w:after="120" w:line="360" w:lineRule="auto"/>
        <w:ind w:left="-446"/>
        <w:jc w:val="both"/>
        <w:rPr>
          <w:rFonts w:ascii="AdvPS5962" w:eastAsia="Times New Roman" w:hAnsi="AdvPS5962" w:cs="Times New Roman"/>
          <w:color w:val="000000" w:themeColor="text1"/>
          <w:szCs w:val="24"/>
        </w:rPr>
        <w:sectPr w:rsidR="00454A2C" w:rsidSect="002306C8">
          <w:type w:val="continuous"/>
          <w:pgSz w:w="12240" w:h="15840"/>
          <w:pgMar w:top="1276" w:right="1183" w:bottom="1440" w:left="1440" w:header="720" w:footer="720" w:gutter="0"/>
          <w:cols w:space="332"/>
          <w:docGrid w:linePitch="360"/>
        </w:sectPr>
      </w:pPr>
    </w:p>
    <w:p w:rsidR="002306C8" w:rsidRPr="002306C8" w:rsidRDefault="002306C8" w:rsidP="008E7845">
      <w:pPr>
        <w:autoSpaceDE w:val="0"/>
        <w:autoSpaceDN w:val="0"/>
        <w:adjustRightInd w:val="0"/>
        <w:spacing w:before="120" w:after="120" w:line="360" w:lineRule="auto"/>
        <w:jc w:val="both"/>
        <w:rPr>
          <w:rFonts w:ascii="AdvPS5962" w:eastAsia="Times New Roman" w:hAnsi="AdvPS5962" w:cs="Times New Roman"/>
          <w:color w:val="000000" w:themeColor="text1"/>
          <w:szCs w:val="24"/>
        </w:rPr>
      </w:pPr>
      <w:r w:rsidRPr="002306C8">
        <w:rPr>
          <w:rFonts w:ascii="AdvPS5962" w:eastAsia="Times New Roman" w:hAnsi="AdvPS5962" w:cs="Times New Roman"/>
          <w:color w:val="000000" w:themeColor="text1"/>
          <w:szCs w:val="24"/>
        </w:rPr>
        <w:t xml:space="preserve">The results of the multivariable analysis showed that the married marital status of the mother (AOR = 2.2; 95% CI (1.1–4.7); P = 0.041), college and above education level of </w:t>
      </w:r>
      <w:r w:rsidRPr="000F4295">
        <w:rPr>
          <w:rFonts w:ascii="AdvPS5962" w:eastAsia="Times New Roman" w:hAnsi="AdvPS5962" w:cs="Times New Roman"/>
          <w:color w:val="000000" w:themeColor="text1"/>
          <w:szCs w:val="24"/>
        </w:rPr>
        <w:t>the mother (AOR = 2.4</w:t>
      </w:r>
      <w:r w:rsidR="00A07E49" w:rsidRPr="000F4295">
        <w:rPr>
          <w:rFonts w:ascii="AdvPS5962" w:eastAsia="Times New Roman" w:hAnsi="AdvPS5962" w:cs="Times New Roman"/>
          <w:color w:val="000000" w:themeColor="text1"/>
          <w:szCs w:val="24"/>
        </w:rPr>
        <w:t xml:space="preserve">; 95% CI </w:t>
      </w:r>
      <w:r w:rsidRPr="000F4295">
        <w:rPr>
          <w:rFonts w:ascii="AdvPS5962" w:eastAsia="Times New Roman" w:hAnsi="AdvPS5962" w:cs="Times New Roman"/>
          <w:color w:val="000000" w:themeColor="text1"/>
          <w:szCs w:val="24"/>
        </w:rPr>
        <w:t>(1.2–4.9); P = 0.012), having home gardening practices (AOR =</w:t>
      </w:r>
      <w:r w:rsidR="00A07E49" w:rsidRPr="000F4295">
        <w:rPr>
          <w:rFonts w:ascii="AdvPS5962" w:eastAsia="Times New Roman" w:hAnsi="AdvPS5962" w:cs="Times New Roman"/>
          <w:color w:val="000000" w:themeColor="text1"/>
          <w:szCs w:val="24"/>
        </w:rPr>
        <w:t xml:space="preserve"> 1.5</w:t>
      </w:r>
      <w:r w:rsidRPr="000F4295">
        <w:rPr>
          <w:rFonts w:ascii="AdvPS5962" w:eastAsia="Times New Roman" w:hAnsi="AdvPS5962" w:cs="Times New Roman"/>
          <w:color w:val="000000" w:themeColor="text1"/>
          <w:szCs w:val="24"/>
        </w:rPr>
        <w:t>; 95%</w:t>
      </w:r>
      <w:r w:rsidR="00A07E49" w:rsidRPr="000F4295">
        <w:rPr>
          <w:rFonts w:ascii="AdvPS5962" w:eastAsia="Times New Roman" w:hAnsi="AdvPS5962" w:cs="Times New Roman"/>
          <w:color w:val="000000" w:themeColor="text1"/>
          <w:szCs w:val="24"/>
        </w:rPr>
        <w:t xml:space="preserve"> CI</w:t>
      </w:r>
      <w:r w:rsidRPr="000F4295">
        <w:rPr>
          <w:rFonts w:ascii="AdvPS5962" w:eastAsia="Times New Roman" w:hAnsi="AdvPS5962" w:cs="Times New Roman"/>
          <w:color w:val="000000" w:themeColor="text1"/>
          <w:szCs w:val="24"/>
        </w:rPr>
        <w:t xml:space="preserve"> (1.0–2.2); P = 0.040), male sex of the child (AOR = 1.6</w:t>
      </w:r>
      <w:r w:rsidR="00A07E49" w:rsidRPr="000F4295">
        <w:rPr>
          <w:rFonts w:ascii="AdvPS5962" w:eastAsia="Times New Roman" w:hAnsi="AdvPS5962" w:cs="Times New Roman"/>
          <w:color w:val="000000" w:themeColor="text1"/>
          <w:szCs w:val="24"/>
        </w:rPr>
        <w:t xml:space="preserve">; 95% CI </w:t>
      </w:r>
      <w:r w:rsidRPr="000F4295">
        <w:rPr>
          <w:rFonts w:ascii="AdvPS5962" w:eastAsia="Times New Roman" w:hAnsi="AdvPS5962" w:cs="Times New Roman"/>
          <w:color w:val="000000" w:themeColor="text1"/>
          <w:szCs w:val="24"/>
        </w:rPr>
        <w:t>(1</w:t>
      </w:r>
      <w:r w:rsidRPr="002306C8">
        <w:rPr>
          <w:rFonts w:ascii="AdvPS5962" w:eastAsia="Times New Roman" w:hAnsi="AdvPS5962" w:cs="Times New Roman"/>
          <w:color w:val="000000" w:themeColor="text1"/>
          <w:szCs w:val="24"/>
        </w:rPr>
        <w:t xml:space="preserve">.1–2.2); P = </w:t>
      </w:r>
      <w:r w:rsidRPr="002306C8">
        <w:rPr>
          <w:rFonts w:ascii="AdvPS5962" w:eastAsia="Times New Roman" w:hAnsi="AdvPS5962" w:cs="Times New Roman"/>
          <w:color w:val="000000" w:themeColor="text1"/>
          <w:szCs w:val="24"/>
        </w:rPr>
        <w:t>0.015), younger age of the child (AOR =</w:t>
      </w:r>
      <w:r w:rsidRPr="002306C8">
        <w:rPr>
          <w:rFonts w:ascii="AdvPS5962" w:hAnsi="AdvPS5962" w:cs="Times New Roman"/>
          <w:color w:val="000000" w:themeColor="text1"/>
        </w:rPr>
        <w:t xml:space="preserve"> </w:t>
      </w:r>
      <w:r w:rsidRPr="002306C8">
        <w:rPr>
          <w:rFonts w:ascii="AdvPS5962" w:eastAsia="Times New Roman" w:hAnsi="AdvPS5962" w:cs="Times New Roman"/>
          <w:color w:val="000000" w:themeColor="text1"/>
          <w:szCs w:val="24"/>
        </w:rPr>
        <w:t xml:space="preserve">2.1; 95% </w:t>
      </w:r>
      <w:r w:rsidR="00A07E49" w:rsidRPr="000F4295">
        <w:rPr>
          <w:rFonts w:ascii="AdvPS5962" w:eastAsia="Times New Roman" w:hAnsi="AdvPS5962" w:cs="Times New Roman"/>
          <w:color w:val="000000" w:themeColor="text1"/>
          <w:szCs w:val="24"/>
        </w:rPr>
        <w:t>CI</w:t>
      </w:r>
      <w:r w:rsidR="00A07E49">
        <w:rPr>
          <w:rFonts w:ascii="AdvPS5962" w:eastAsia="Times New Roman" w:hAnsi="AdvPS5962" w:cs="Times New Roman"/>
          <w:color w:val="000000" w:themeColor="text1"/>
          <w:szCs w:val="24"/>
        </w:rPr>
        <w:t xml:space="preserve"> </w:t>
      </w:r>
      <w:r w:rsidRPr="002306C8">
        <w:rPr>
          <w:rFonts w:ascii="AdvPS5962" w:eastAsia="Times New Roman" w:hAnsi="AdvPS5962" w:cs="Times New Roman"/>
          <w:color w:val="000000" w:themeColor="text1"/>
          <w:szCs w:val="24"/>
        </w:rPr>
        <w:t>(1.4–3.2); P &lt; 0.001), good knowledge level (AOR = 1.6; 95% CI (1.1–2.3); P = 0.027) of the mother, and rich wealth index (AOR = 1.7; 95% CI (1.1–2.6); P = 0.024) were significantly associated with DDS among children aged 6–59 months in households with and without home gardens (Table 6).</w:t>
      </w:r>
      <w:bookmarkStart w:id="37" w:name="_Toc179373012"/>
    </w:p>
    <w:p w:rsidR="00454A2C" w:rsidRDefault="00454A2C" w:rsidP="002306C8">
      <w:pPr>
        <w:spacing w:after="0"/>
        <w:jc w:val="both"/>
        <w:rPr>
          <w:rFonts w:ascii="AdvPS5962" w:hAnsi="AdvPS5962" w:cs="Times New Roman"/>
          <w:color w:val="000000" w:themeColor="text1"/>
          <w:szCs w:val="24"/>
        </w:rPr>
        <w:sectPr w:rsidR="00454A2C" w:rsidSect="00454A2C">
          <w:type w:val="continuous"/>
          <w:pgSz w:w="12240" w:h="15840"/>
          <w:pgMar w:top="1276" w:right="1183" w:bottom="1440" w:left="1440" w:header="720" w:footer="720" w:gutter="0"/>
          <w:cols w:num="2" w:space="831"/>
          <w:docGrid w:linePitch="360"/>
        </w:sectPr>
      </w:pPr>
    </w:p>
    <w:p w:rsidR="002306C8" w:rsidRPr="002306C8" w:rsidRDefault="002306C8" w:rsidP="002306C8">
      <w:pPr>
        <w:spacing w:after="0"/>
        <w:jc w:val="both"/>
        <w:rPr>
          <w:rFonts w:ascii="AdvPS5962" w:hAnsi="AdvPS5962" w:cs="Times New Roman"/>
          <w:color w:val="000000" w:themeColor="text1"/>
          <w:szCs w:val="24"/>
        </w:rPr>
      </w:pPr>
      <w:r w:rsidRPr="002306C8">
        <w:rPr>
          <w:rFonts w:ascii="AdvPS5962" w:hAnsi="AdvPS5962" w:cs="Times New Roman"/>
          <w:color w:val="000000" w:themeColor="text1"/>
          <w:szCs w:val="24"/>
        </w:rPr>
        <w:t xml:space="preserve">Table 6: Factors associated with dietary diversity scores among children in </w:t>
      </w:r>
      <w:proofErr w:type="spellStart"/>
      <w:r w:rsidRPr="002306C8">
        <w:rPr>
          <w:rFonts w:ascii="AdvPS5962" w:hAnsi="AdvPS5962" w:cs="Times New Roman"/>
          <w:color w:val="000000" w:themeColor="text1"/>
          <w:szCs w:val="24"/>
        </w:rPr>
        <w:t>Ginir</w:t>
      </w:r>
      <w:proofErr w:type="spellEnd"/>
      <w:r w:rsidRPr="002306C8">
        <w:rPr>
          <w:rFonts w:ascii="AdvPS5962" w:hAnsi="AdvPS5962" w:cs="Times New Roman"/>
          <w:color w:val="000000" w:themeColor="text1"/>
          <w:szCs w:val="24"/>
        </w:rPr>
        <w:t xml:space="preserve"> District,</w:t>
      </w:r>
      <w:bookmarkEnd w:id="37"/>
      <w:r w:rsidRPr="002306C8">
        <w:rPr>
          <w:rFonts w:ascii="AdvPS5962" w:hAnsi="AdvPS5962" w:cs="Times New Roman"/>
          <w:color w:val="000000" w:themeColor="text1"/>
          <w:szCs w:val="24"/>
        </w:rPr>
        <w:t xml:space="preserve"> (n=</w:t>
      </w:r>
      <w:r w:rsidRPr="002306C8">
        <w:rPr>
          <w:rFonts w:ascii="AdvPS5962" w:eastAsia="Times New Roman" w:hAnsi="AdvPS5962" w:cs="Times New Roman"/>
          <w:color w:val="000000" w:themeColor="text1"/>
          <w:szCs w:val="24"/>
        </w:rPr>
        <w:t>746)</w:t>
      </w:r>
      <w:r w:rsidR="002F1794" w:rsidRPr="002F1794">
        <w:rPr>
          <w:rFonts w:ascii="AdvPS5962" w:eastAsia="Times New Roman" w:hAnsi="AdvPS5962" w:cs="Times New Roman"/>
          <w:color w:val="000000" w:themeColor="text1"/>
          <w:szCs w:val="24"/>
          <w:highlight w:val="yellow"/>
        </w:rPr>
        <w:t>.</w:t>
      </w:r>
    </w:p>
    <w:tbl>
      <w:tblPr>
        <w:tblStyle w:val="TableGrid1"/>
        <w:tblW w:w="978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18"/>
        <w:gridCol w:w="1677"/>
        <w:gridCol w:w="1183"/>
        <w:gridCol w:w="1134"/>
        <w:gridCol w:w="1418"/>
        <w:gridCol w:w="1559"/>
        <w:gridCol w:w="992"/>
      </w:tblGrid>
      <w:tr w:rsidR="002306C8" w:rsidRPr="008E7845" w:rsidTr="00135F2C">
        <w:trPr>
          <w:trHeight w:val="197"/>
        </w:trPr>
        <w:tc>
          <w:tcPr>
            <w:tcW w:w="1818" w:type="dxa"/>
            <w:vMerge w:val="restart"/>
          </w:tcPr>
          <w:p w:rsidR="002306C8" w:rsidRPr="008E7845" w:rsidRDefault="002306C8" w:rsidP="008E7845">
            <w:pPr>
              <w:pStyle w:val="NormalWeb"/>
              <w:spacing w:before="0" w:beforeAutospacing="0"/>
              <w:jc w:val="both"/>
              <w:rPr>
                <w:rFonts w:ascii="AdvPS5962" w:hAnsi="AdvPS5962"/>
                <w:b/>
                <w:color w:val="000000" w:themeColor="text1"/>
                <w:sz w:val="20"/>
                <w:szCs w:val="20"/>
              </w:rPr>
            </w:pPr>
            <w:r w:rsidRPr="008E7845">
              <w:rPr>
                <w:rFonts w:ascii="AdvPS5962" w:hAnsi="AdvPS5962"/>
                <w:b/>
                <w:color w:val="000000" w:themeColor="text1"/>
                <w:sz w:val="20"/>
                <w:szCs w:val="20"/>
              </w:rPr>
              <w:t>Variables</w:t>
            </w:r>
          </w:p>
        </w:tc>
        <w:tc>
          <w:tcPr>
            <w:tcW w:w="1677" w:type="dxa"/>
            <w:vMerge w:val="restart"/>
          </w:tcPr>
          <w:p w:rsidR="002306C8" w:rsidRPr="008E7845" w:rsidRDefault="002306C8" w:rsidP="008E7845">
            <w:pPr>
              <w:pStyle w:val="NormalWeb"/>
              <w:spacing w:before="0" w:beforeAutospacing="0"/>
              <w:jc w:val="both"/>
              <w:rPr>
                <w:rFonts w:ascii="AdvPS5962" w:hAnsi="AdvPS5962"/>
                <w:b/>
                <w:color w:val="000000" w:themeColor="text1"/>
                <w:sz w:val="20"/>
                <w:szCs w:val="20"/>
              </w:rPr>
            </w:pPr>
            <w:r w:rsidRPr="008E7845">
              <w:rPr>
                <w:rFonts w:ascii="AdvPS5962" w:hAnsi="AdvPS5962"/>
                <w:b/>
                <w:color w:val="000000" w:themeColor="text1"/>
                <w:sz w:val="20"/>
                <w:szCs w:val="20"/>
              </w:rPr>
              <w:t>Categories</w:t>
            </w:r>
          </w:p>
        </w:tc>
        <w:tc>
          <w:tcPr>
            <w:tcW w:w="2317" w:type="dxa"/>
            <w:gridSpan w:val="2"/>
            <w:tcBorders>
              <w:right w:val="nil"/>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r w:rsidRPr="008E7845">
              <w:rPr>
                <w:rFonts w:ascii="AdvPS5962" w:hAnsi="AdvPS5962"/>
                <w:b/>
                <w:color w:val="000000" w:themeColor="text1"/>
                <w:sz w:val="20"/>
                <w:szCs w:val="20"/>
              </w:rPr>
              <w:t>Dietary diversity scores</w:t>
            </w:r>
          </w:p>
        </w:tc>
        <w:tc>
          <w:tcPr>
            <w:tcW w:w="1418" w:type="dxa"/>
            <w:tcBorders>
              <w:left w:val="nil"/>
              <w:bottom w:val="nil"/>
              <w:right w:val="nil"/>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p>
        </w:tc>
        <w:tc>
          <w:tcPr>
            <w:tcW w:w="1559" w:type="dxa"/>
            <w:tcBorders>
              <w:left w:val="nil"/>
              <w:bottom w:val="nil"/>
              <w:right w:val="nil"/>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p>
        </w:tc>
        <w:tc>
          <w:tcPr>
            <w:tcW w:w="992" w:type="dxa"/>
            <w:tcBorders>
              <w:left w:val="nil"/>
              <w:bottom w:val="nil"/>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p>
        </w:tc>
      </w:tr>
      <w:tr w:rsidR="00135F2C" w:rsidRPr="008E7845" w:rsidTr="00135F2C">
        <w:trPr>
          <w:trHeight w:val="323"/>
        </w:trPr>
        <w:tc>
          <w:tcPr>
            <w:tcW w:w="1818" w:type="dxa"/>
            <w:vMerge/>
            <w:tcBorders>
              <w:bottom w:val="single" w:sz="4" w:space="0" w:color="auto"/>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p>
        </w:tc>
        <w:tc>
          <w:tcPr>
            <w:tcW w:w="1677" w:type="dxa"/>
            <w:vMerge/>
            <w:tcBorders>
              <w:bottom w:val="single" w:sz="4" w:space="0" w:color="auto"/>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p>
        </w:tc>
        <w:tc>
          <w:tcPr>
            <w:tcW w:w="1183" w:type="dxa"/>
            <w:tcBorders>
              <w:bottom w:val="single" w:sz="4" w:space="0" w:color="auto"/>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r w:rsidRPr="008E7845">
              <w:rPr>
                <w:rFonts w:ascii="AdvPS5962" w:hAnsi="AdvPS5962"/>
                <w:b/>
                <w:color w:val="000000" w:themeColor="text1"/>
                <w:sz w:val="20"/>
                <w:szCs w:val="20"/>
              </w:rPr>
              <w:t>Good DDS</w:t>
            </w:r>
            <w:r w:rsidR="00135F2C">
              <w:rPr>
                <w:rFonts w:ascii="AdvPS5962" w:hAnsi="AdvPS5962"/>
                <w:b/>
                <w:color w:val="000000" w:themeColor="text1"/>
                <w:sz w:val="20"/>
                <w:szCs w:val="20"/>
              </w:rPr>
              <w:t>, n (%)</w:t>
            </w:r>
          </w:p>
        </w:tc>
        <w:tc>
          <w:tcPr>
            <w:tcW w:w="1134" w:type="dxa"/>
            <w:tcBorders>
              <w:bottom w:val="single" w:sz="4" w:space="0" w:color="auto"/>
              <w:right w:val="nil"/>
            </w:tcBorders>
          </w:tcPr>
          <w:p w:rsidR="002306C8" w:rsidRPr="008E7845" w:rsidRDefault="002306C8" w:rsidP="008E7845">
            <w:pPr>
              <w:pStyle w:val="NormalWeb"/>
              <w:spacing w:before="0" w:beforeAutospacing="0"/>
              <w:jc w:val="both"/>
              <w:rPr>
                <w:rFonts w:ascii="AdvPS5962" w:hAnsi="AdvPS5962"/>
                <w:b/>
                <w:color w:val="000000" w:themeColor="text1"/>
                <w:sz w:val="20"/>
                <w:szCs w:val="20"/>
              </w:rPr>
            </w:pPr>
            <w:r w:rsidRPr="008E7845">
              <w:rPr>
                <w:rFonts w:ascii="AdvPS5962" w:hAnsi="AdvPS5962"/>
                <w:b/>
                <w:color w:val="000000" w:themeColor="text1"/>
                <w:sz w:val="20"/>
                <w:szCs w:val="20"/>
              </w:rPr>
              <w:t>Poor DDS</w:t>
            </w:r>
            <w:r w:rsidR="00135F2C">
              <w:rPr>
                <w:rFonts w:ascii="AdvPS5962" w:hAnsi="AdvPS5962"/>
                <w:b/>
                <w:color w:val="000000" w:themeColor="text1"/>
                <w:sz w:val="20"/>
                <w:szCs w:val="20"/>
              </w:rPr>
              <w:t>, n (%)</w:t>
            </w:r>
          </w:p>
        </w:tc>
        <w:tc>
          <w:tcPr>
            <w:tcW w:w="1418" w:type="dxa"/>
            <w:tcBorders>
              <w:top w:val="nil"/>
              <w:left w:val="nil"/>
              <w:bottom w:val="single" w:sz="4" w:space="0" w:color="auto"/>
              <w:right w:val="nil"/>
            </w:tcBorders>
          </w:tcPr>
          <w:p w:rsidR="002306C8" w:rsidRPr="008E7845" w:rsidRDefault="00135F2C" w:rsidP="008E7845">
            <w:pPr>
              <w:pStyle w:val="NormalWeb"/>
              <w:spacing w:before="0"/>
              <w:jc w:val="both"/>
              <w:rPr>
                <w:rFonts w:ascii="AdvPS5962" w:hAnsi="AdvPS5962"/>
                <w:b/>
                <w:color w:val="000000" w:themeColor="text1"/>
                <w:sz w:val="20"/>
                <w:szCs w:val="20"/>
              </w:rPr>
            </w:pPr>
            <w:r w:rsidRPr="008E7845">
              <w:rPr>
                <w:rFonts w:ascii="AdvPS5962" w:hAnsi="AdvPS5962"/>
                <w:b/>
                <w:color w:val="000000" w:themeColor="text1"/>
                <w:sz w:val="20"/>
                <w:szCs w:val="20"/>
              </w:rPr>
              <w:t>COR (95%CI)</w:t>
            </w:r>
          </w:p>
        </w:tc>
        <w:tc>
          <w:tcPr>
            <w:tcW w:w="1559" w:type="dxa"/>
            <w:tcBorders>
              <w:top w:val="nil"/>
              <w:left w:val="nil"/>
              <w:bottom w:val="single" w:sz="4" w:space="0" w:color="auto"/>
              <w:right w:val="nil"/>
            </w:tcBorders>
          </w:tcPr>
          <w:p w:rsidR="002306C8" w:rsidRPr="008E7845" w:rsidRDefault="00135F2C" w:rsidP="008E7845">
            <w:pPr>
              <w:pStyle w:val="NormalWeb"/>
              <w:spacing w:before="0"/>
              <w:jc w:val="both"/>
              <w:rPr>
                <w:rFonts w:ascii="AdvPS5962" w:hAnsi="AdvPS5962"/>
                <w:b/>
                <w:color w:val="000000" w:themeColor="text1"/>
                <w:sz w:val="20"/>
                <w:szCs w:val="20"/>
              </w:rPr>
            </w:pPr>
            <w:r w:rsidRPr="008E7845">
              <w:rPr>
                <w:rFonts w:ascii="AdvPS5962" w:hAnsi="AdvPS5962"/>
                <w:b/>
                <w:color w:val="000000" w:themeColor="text1"/>
                <w:sz w:val="20"/>
                <w:szCs w:val="20"/>
              </w:rPr>
              <w:t>AOR (95%CI)</w:t>
            </w:r>
          </w:p>
        </w:tc>
        <w:tc>
          <w:tcPr>
            <w:tcW w:w="992" w:type="dxa"/>
            <w:tcBorders>
              <w:top w:val="nil"/>
              <w:left w:val="nil"/>
              <w:bottom w:val="single" w:sz="4" w:space="0" w:color="auto"/>
            </w:tcBorders>
          </w:tcPr>
          <w:p w:rsidR="002306C8" w:rsidRPr="008E7845" w:rsidRDefault="00135F2C" w:rsidP="008E7845">
            <w:pPr>
              <w:pStyle w:val="NormalWeb"/>
              <w:spacing w:before="0"/>
              <w:jc w:val="both"/>
              <w:rPr>
                <w:rFonts w:ascii="AdvPS5962" w:hAnsi="AdvPS5962"/>
                <w:b/>
                <w:color w:val="000000" w:themeColor="text1"/>
                <w:sz w:val="20"/>
                <w:szCs w:val="20"/>
              </w:rPr>
            </w:pPr>
            <w:r w:rsidRPr="008E7845">
              <w:rPr>
                <w:rFonts w:ascii="AdvPS5962" w:hAnsi="AdvPS5962"/>
                <w:b/>
                <w:color w:val="000000" w:themeColor="text1"/>
                <w:sz w:val="20"/>
                <w:szCs w:val="20"/>
              </w:rPr>
              <w:t>P-value</w:t>
            </w:r>
          </w:p>
        </w:tc>
      </w:tr>
      <w:tr w:rsidR="002306C8" w:rsidRPr="008E7845" w:rsidTr="008E7845">
        <w:trPr>
          <w:trHeight w:val="630"/>
        </w:trPr>
        <w:tc>
          <w:tcPr>
            <w:tcW w:w="1818"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Marital status of mother</w:t>
            </w:r>
          </w:p>
        </w:tc>
        <w:tc>
          <w:tcPr>
            <w:tcW w:w="1677"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Single</w:t>
            </w:r>
          </w:p>
        </w:tc>
        <w:tc>
          <w:tcPr>
            <w:tcW w:w="1183"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9 (12.5)</w:t>
            </w:r>
          </w:p>
        </w:tc>
        <w:tc>
          <w:tcPr>
            <w:tcW w:w="1134"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61(87.1)</w:t>
            </w:r>
          </w:p>
        </w:tc>
        <w:tc>
          <w:tcPr>
            <w:tcW w:w="1418"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195"/>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Married</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176 (26.0)</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500 (74.0)</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2.4 (1.2–4.9)</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2.2 (1.1–4.7)</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0.041*</w:t>
            </w:r>
          </w:p>
        </w:tc>
      </w:tr>
      <w:tr w:rsidR="002306C8" w:rsidRPr="008E7845" w:rsidTr="008E7845">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Maternal educational status</w:t>
            </w: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Unable to read and write</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22 (19.6)</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90 (80.4)</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319"/>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Able to read and write</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54 (24.5)</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166 (75.5)</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1.3 (0.76–2.3)</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1.4 (0.77–2.5)</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0.265</w:t>
            </w:r>
          </w:p>
        </w:tc>
      </w:tr>
      <w:tr w:rsidR="002306C8" w:rsidRPr="008E7845" w:rsidTr="008E7845">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Elementary</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37 (21.5)</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135 (78.5)</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1.1(0.62–2.0)</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1.3 (0.70–2.5)</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0.389</w:t>
            </w:r>
          </w:p>
        </w:tc>
      </w:tr>
      <w:tr w:rsidR="002306C8" w:rsidRPr="008E7845" w:rsidTr="008E7845">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High school</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43 (26.2)</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121(73.8)</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1.5 (0.81–2.6)</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 (0.37–3.0)</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0.127</w:t>
            </w:r>
          </w:p>
        </w:tc>
      </w:tr>
      <w:tr w:rsidR="002306C8" w:rsidRPr="008E7845" w:rsidTr="008E7845">
        <w:trPr>
          <w:trHeight w:val="199"/>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College and above</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29 (37.2)</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49 (62.8)</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2.4 (1.3–4.7)</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2.4 (1.2–4.9)</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0.012*</w:t>
            </w:r>
          </w:p>
        </w:tc>
      </w:tr>
      <w:tr w:rsidR="002306C8" w:rsidRPr="008E7845" w:rsidTr="008E7845">
        <w:trPr>
          <w:trHeight w:val="291"/>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Home gardening practices</w:t>
            </w: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Yes</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114 (30.5)</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260 (69.5)</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1.9 (1.3–2.6)</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1.5 (1.0–2.2)</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0.040*</w:t>
            </w:r>
          </w:p>
        </w:tc>
      </w:tr>
      <w:tr w:rsidR="002306C8" w:rsidRPr="008E7845" w:rsidTr="008E7845">
        <w:trPr>
          <w:trHeight w:val="184"/>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No</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71 (19.1)</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301(80.9)</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261"/>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Age of child</w:t>
            </w: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6-23</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147 (30.9)</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328 (69.1)</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2.8(1.8–4.1)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2.1(1.4–3.2)</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&lt;0.001*</w:t>
            </w:r>
          </w:p>
        </w:tc>
      </w:tr>
      <w:tr w:rsidR="002306C8" w:rsidRPr="008E7845" w:rsidTr="008E7845">
        <w:trPr>
          <w:trHeight w:val="103"/>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24-59</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38 (14.1)</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233 (85.9)</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206"/>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Sex of child</w:t>
            </w: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Male</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108 (29.3)</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260 (70.7)</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1.6(1.2–2.3)</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 (1.1–2.2)</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0.015*</w:t>
            </w:r>
          </w:p>
        </w:tc>
      </w:tr>
      <w:tr w:rsidR="002306C8" w:rsidRPr="008E7845" w:rsidTr="008E7845">
        <w:trPr>
          <w:trHeight w:val="169"/>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Sex</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77 (20.4)</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301(79.6)</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261"/>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 xml:space="preserve">Child immunization </w:t>
            </w: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Immunized</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173 (25.5)</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505 (74.5)</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1.6(0.8–3.1)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0.90(0.43–1.9)</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0.780</w:t>
            </w:r>
          </w:p>
        </w:tc>
      </w:tr>
      <w:tr w:rsidR="002306C8" w:rsidRPr="008E7845" w:rsidTr="008E7845">
        <w:trPr>
          <w:trHeight w:val="176"/>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Status</w:t>
            </w: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Not immunized</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121(17.6)</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56 (82.4)</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291"/>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Mothers knowledge</w:t>
            </w: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Poor</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63 (19.2)</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265 (80.8)</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154"/>
        </w:trPr>
        <w:tc>
          <w:tcPr>
            <w:tcW w:w="18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Good</w:t>
            </w:r>
          </w:p>
        </w:tc>
        <w:tc>
          <w:tcPr>
            <w:tcW w:w="1183"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122 (29.2)</w:t>
            </w:r>
          </w:p>
        </w:tc>
        <w:tc>
          <w:tcPr>
            <w:tcW w:w="1134"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296 (70.8)</w:t>
            </w:r>
          </w:p>
        </w:tc>
        <w:tc>
          <w:tcPr>
            <w:tcW w:w="1418"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1.7 (1.2–2.5)</w:t>
            </w:r>
          </w:p>
        </w:tc>
        <w:tc>
          <w:tcPr>
            <w:tcW w:w="1559"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 (1.1–2.3)</w:t>
            </w:r>
          </w:p>
        </w:tc>
        <w:tc>
          <w:tcPr>
            <w:tcW w:w="992" w:type="dxa"/>
            <w:tcBorders>
              <w:top w:val="nil"/>
              <w:bottom w:val="nil"/>
            </w:tcBorders>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0.027*</w:t>
            </w:r>
          </w:p>
        </w:tc>
      </w:tr>
      <w:tr w:rsidR="002306C8" w:rsidRPr="008E7845" w:rsidTr="008E7845">
        <w:trPr>
          <w:trHeight w:val="138"/>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Wealth index</w:t>
            </w: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Poor</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55 (22.6)</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188 (77.4)</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r>
      <w:tr w:rsidR="002306C8" w:rsidRPr="008E7845" w:rsidTr="008E7845">
        <w:trPr>
          <w:trHeight w:val="278"/>
        </w:trPr>
        <w:tc>
          <w:tcPr>
            <w:tcW w:w="18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Medium</w:t>
            </w:r>
          </w:p>
        </w:tc>
        <w:tc>
          <w:tcPr>
            <w:tcW w:w="1183"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50 (20.2)</w:t>
            </w:r>
          </w:p>
        </w:tc>
        <w:tc>
          <w:tcPr>
            <w:tcW w:w="1134"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198 (79.8)</w:t>
            </w:r>
          </w:p>
        </w:tc>
        <w:tc>
          <w:tcPr>
            <w:tcW w:w="1418"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0.86 (0.56–1.3)</w:t>
            </w:r>
          </w:p>
        </w:tc>
        <w:tc>
          <w:tcPr>
            <w:tcW w:w="1559"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0.65(0.41–1.0)</w:t>
            </w:r>
          </w:p>
        </w:tc>
        <w:tc>
          <w:tcPr>
            <w:tcW w:w="992" w:type="dxa"/>
            <w:tcBorders>
              <w:top w:val="nil"/>
              <w:bottom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.065</w:t>
            </w:r>
          </w:p>
        </w:tc>
      </w:tr>
      <w:tr w:rsidR="002306C8" w:rsidRPr="008E7845" w:rsidTr="008E7845">
        <w:trPr>
          <w:trHeight w:val="123"/>
        </w:trPr>
        <w:tc>
          <w:tcPr>
            <w:tcW w:w="1818"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p>
        </w:tc>
        <w:tc>
          <w:tcPr>
            <w:tcW w:w="1677"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Rich</w:t>
            </w:r>
          </w:p>
        </w:tc>
        <w:tc>
          <w:tcPr>
            <w:tcW w:w="1183"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80 (31.4)</w:t>
            </w:r>
          </w:p>
        </w:tc>
        <w:tc>
          <w:tcPr>
            <w:tcW w:w="1134"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175 (68.6)</w:t>
            </w:r>
          </w:p>
        </w:tc>
        <w:tc>
          <w:tcPr>
            <w:tcW w:w="1418"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1.6 (1.1– 2.3)</w:t>
            </w:r>
          </w:p>
        </w:tc>
        <w:tc>
          <w:tcPr>
            <w:tcW w:w="1559"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1.7 (1.1–2.6)</w:t>
            </w:r>
          </w:p>
        </w:tc>
        <w:tc>
          <w:tcPr>
            <w:tcW w:w="992" w:type="dxa"/>
            <w:tcBorders>
              <w:top w:val="nil"/>
            </w:tcBorders>
            <w:shd w:val="clear" w:color="auto" w:fill="F2F2F2" w:themeFill="background1" w:themeFillShade="F2"/>
          </w:tcPr>
          <w:p w:rsidR="002306C8" w:rsidRPr="008E7845" w:rsidRDefault="002306C8" w:rsidP="008E7845">
            <w:pPr>
              <w:pStyle w:val="NormalWeb"/>
              <w:spacing w:before="0" w:beforeAutospacing="0"/>
              <w:jc w:val="both"/>
              <w:rPr>
                <w:rFonts w:ascii="AdvPS5962" w:hAnsi="AdvPS5962"/>
                <w:color w:val="000000" w:themeColor="text1"/>
                <w:sz w:val="20"/>
                <w:szCs w:val="20"/>
              </w:rPr>
            </w:pPr>
            <w:r w:rsidRPr="008E7845">
              <w:rPr>
                <w:rFonts w:ascii="AdvPS5962" w:hAnsi="AdvPS5962"/>
                <w:color w:val="000000" w:themeColor="text1"/>
                <w:sz w:val="20"/>
                <w:szCs w:val="20"/>
              </w:rPr>
              <w:t>0.024*</w:t>
            </w:r>
          </w:p>
        </w:tc>
      </w:tr>
    </w:tbl>
    <w:p w:rsidR="002306C8" w:rsidRPr="002306C8" w:rsidRDefault="00454A2C" w:rsidP="002306C8">
      <w:pPr>
        <w:rPr>
          <w:rFonts w:ascii="AdvPS5962" w:eastAsia="Times New Roman" w:hAnsi="AdvPS5962" w:cs="Times New Roman"/>
          <w:i/>
          <w:color w:val="000000" w:themeColor="text1"/>
          <w:sz w:val="20"/>
          <w:szCs w:val="24"/>
        </w:rPr>
      </w:pPr>
      <w:r w:rsidRPr="002306C8">
        <w:rPr>
          <w:rFonts w:ascii="AdvPS5962" w:eastAsia="Times New Roman" w:hAnsi="AdvPS5962" w:cs="Times New Roman"/>
          <w:i/>
          <w:color w:val="000000" w:themeColor="text1"/>
          <w:sz w:val="20"/>
          <w:szCs w:val="24"/>
        </w:rPr>
        <w:lastRenderedPageBreak/>
        <w:t>*</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significance at 5% level, COR</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Crude odd ratio, AOR</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Adjusted odd ratio, 1</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reference categories, CI</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 xml:space="preserve"> Confidence interval, DDS</w:t>
      </w:r>
      <w:r w:rsidR="008E7845">
        <w:rPr>
          <w:rFonts w:ascii="AdvPS5962" w:eastAsia="Times New Roman" w:hAnsi="AdvPS5962" w:cs="Times New Roman"/>
          <w:i/>
          <w:color w:val="000000" w:themeColor="text1"/>
          <w:sz w:val="20"/>
          <w:szCs w:val="24"/>
        </w:rPr>
        <w:t>-</w:t>
      </w:r>
      <w:r w:rsidR="002306C8" w:rsidRPr="002306C8">
        <w:rPr>
          <w:rFonts w:ascii="AdvPS5962" w:eastAsia="Times New Roman" w:hAnsi="AdvPS5962" w:cs="Times New Roman"/>
          <w:i/>
          <w:color w:val="000000" w:themeColor="text1"/>
          <w:sz w:val="20"/>
          <w:szCs w:val="24"/>
        </w:rPr>
        <w:t xml:space="preserve"> dietary diversity scores</w:t>
      </w:r>
    </w:p>
    <w:p w:rsidR="00454A2C" w:rsidRDefault="00454A2C" w:rsidP="00454A2C">
      <w:pPr>
        <w:rPr>
          <w:b/>
        </w:rPr>
        <w:sectPr w:rsidR="00454A2C" w:rsidSect="002306C8">
          <w:type w:val="continuous"/>
          <w:pgSz w:w="12240" w:h="15840"/>
          <w:pgMar w:top="1276" w:right="1183" w:bottom="1440" w:left="1440" w:header="720" w:footer="720" w:gutter="0"/>
          <w:cols w:space="332"/>
          <w:docGrid w:linePitch="360"/>
        </w:sectPr>
      </w:pPr>
    </w:p>
    <w:p w:rsidR="00454A2C" w:rsidRPr="00454A2C" w:rsidRDefault="00454A2C" w:rsidP="00454A2C">
      <w:pPr>
        <w:rPr>
          <w:rFonts w:ascii="AdvPS5962" w:hAnsi="AdvPS5962"/>
          <w:b/>
        </w:rPr>
      </w:pPr>
      <w:r w:rsidRPr="00454A2C">
        <w:rPr>
          <w:rFonts w:ascii="AdvPS5962" w:hAnsi="AdvPS5962"/>
          <w:b/>
        </w:rPr>
        <w:t xml:space="preserve">DISCUSSION </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hAnsi="AdvPS5962"/>
          <w:color w:val="000000" w:themeColor="text1"/>
          <w:sz w:val="22"/>
        </w:rPr>
        <w:t xml:space="preserve">The results of this study show that there is a key difference in dietary diversity scores between children in households with and without home gardens. </w:t>
      </w:r>
      <w:r w:rsidRPr="00454A2C">
        <w:rPr>
          <w:rFonts w:ascii="AdvPS5962" w:eastAsia="Times New Roman" w:hAnsi="AdvPS5962"/>
          <w:color w:val="000000" w:themeColor="text1"/>
          <w:sz w:val="22"/>
        </w:rPr>
        <w:t xml:space="preserve">The current study showed that the prevalence of good dietary diversity scores among children in </w:t>
      </w:r>
      <w:r w:rsidRPr="00454A2C">
        <w:rPr>
          <w:rFonts w:ascii="AdvPS5962" w:hAnsi="AdvPS5962"/>
          <w:color w:val="000000" w:themeColor="text1"/>
          <w:sz w:val="22"/>
        </w:rPr>
        <w:t xml:space="preserve">households with and without home gardens </w:t>
      </w:r>
      <w:r w:rsidRPr="00454A2C">
        <w:rPr>
          <w:rFonts w:ascii="AdvPS5962" w:eastAsia="Times New Roman" w:hAnsi="AdvPS5962"/>
          <w:color w:val="000000" w:themeColor="text1"/>
          <w:sz w:val="22"/>
        </w:rPr>
        <w:t>was 30.5% and 19.1%, respectively. This difference suggests that having access to a home garden can positively influence dietary diversity scores by providing a steady supply of fresh fruits and vegetables, which are essential for meeting nutritional needs and improving dietary diversity (31). The presence of a garden allows families to incorporate a wider range of foods into their diets, thereby potentially increasing the variety and quality of nutrition available to children.</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Without a garden, families may rely more on purchased foods, which might be less diverse and potentially more expensive, limiting access to a variety of nutritious foods. This instance emphasizes how home gardening can be a useful tool for increasing dietary diversity (32). However, it is clear that while gardens can have a good effect, interventions that are more comprehensive are required to satisfy the nutritional needs of all children in the area, as only 19.1% of children in households without gardens achieve appropriate dietary diversity scores (27). </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The findings of this study showed that the overall prevalence of good dietary diversity practices among children aged 6–59 months living in households with and without home gardens was 24.8% (95%CI: 21.7 -28.1). This result is consistent with the study </w:t>
      </w:r>
      <w:r w:rsidR="002F1794" w:rsidRPr="000F4295">
        <w:rPr>
          <w:rFonts w:ascii="AdvPS5962" w:eastAsia="Times New Roman" w:hAnsi="AdvPS5962"/>
          <w:color w:val="000000" w:themeColor="text1"/>
          <w:sz w:val="22"/>
        </w:rPr>
        <w:t>conducted</w:t>
      </w:r>
      <w:r w:rsidR="002F1794">
        <w:rPr>
          <w:rFonts w:ascii="AdvPS5962" w:eastAsia="Times New Roman" w:hAnsi="AdvPS5962"/>
          <w:color w:val="000000" w:themeColor="text1"/>
          <w:sz w:val="22"/>
        </w:rPr>
        <w:t xml:space="preserve"> </w:t>
      </w:r>
      <w:r w:rsidRPr="00454A2C">
        <w:rPr>
          <w:rFonts w:ascii="AdvPS5962" w:eastAsia="Times New Roman" w:hAnsi="AdvPS5962"/>
          <w:color w:val="000000" w:themeColor="text1"/>
          <w:sz w:val="22"/>
        </w:rPr>
        <w:t xml:space="preserve">in Dire </w:t>
      </w:r>
      <w:proofErr w:type="spellStart"/>
      <w:r w:rsidRPr="00454A2C">
        <w:rPr>
          <w:rFonts w:ascii="AdvPS5962" w:eastAsia="Times New Roman" w:hAnsi="AdvPS5962"/>
          <w:color w:val="000000" w:themeColor="text1"/>
          <w:sz w:val="22"/>
        </w:rPr>
        <w:t>Dawa</w:t>
      </w:r>
      <w:proofErr w:type="spellEnd"/>
      <w:r w:rsidRPr="00454A2C">
        <w:rPr>
          <w:rFonts w:ascii="AdvPS5962" w:eastAsia="Times New Roman" w:hAnsi="AdvPS5962"/>
          <w:color w:val="000000" w:themeColor="text1"/>
          <w:sz w:val="22"/>
        </w:rPr>
        <w:t xml:space="preserve">, 24.4% (29). However, this finding is lower than the studies conducted in Addis Ababa, Ethiopia, 59.9% (28), and southeast Ethiopia, 31.6% (30). This finding is also higher than studies conducted in East </w:t>
      </w:r>
      <w:proofErr w:type="spellStart"/>
      <w:r w:rsidRPr="00454A2C">
        <w:rPr>
          <w:rFonts w:ascii="AdvPS5962" w:eastAsia="Times New Roman" w:hAnsi="AdvPS5962"/>
          <w:color w:val="000000" w:themeColor="text1"/>
          <w:sz w:val="22"/>
        </w:rPr>
        <w:t>Gojam</w:t>
      </w:r>
      <w:proofErr w:type="spellEnd"/>
      <w:r w:rsidRPr="00454A2C">
        <w:rPr>
          <w:rFonts w:ascii="AdvPS5962" w:eastAsia="Times New Roman" w:hAnsi="AdvPS5962"/>
          <w:color w:val="000000" w:themeColor="text1"/>
          <w:sz w:val="22"/>
        </w:rPr>
        <w:t xml:space="preserve"> at 18.2%, Ethiopia (19), and </w:t>
      </w:r>
      <w:proofErr w:type="spellStart"/>
      <w:r w:rsidRPr="00454A2C">
        <w:rPr>
          <w:rFonts w:ascii="AdvPS5962" w:eastAsia="Times New Roman" w:hAnsi="AdvPS5962"/>
          <w:color w:val="000000" w:themeColor="text1"/>
          <w:sz w:val="22"/>
        </w:rPr>
        <w:t>Dejen</w:t>
      </w:r>
      <w:proofErr w:type="spellEnd"/>
      <w:r w:rsidRPr="00454A2C">
        <w:rPr>
          <w:rFonts w:ascii="AdvPS5962" w:eastAsia="Times New Roman" w:hAnsi="AdvPS5962"/>
          <w:color w:val="000000" w:themeColor="text1"/>
          <w:sz w:val="22"/>
        </w:rPr>
        <w:t xml:space="preserve"> District, 13.6%, Ethiopia (32).The differences might be attributed to various factors, including socioeconomic differences and variations in child feeding habits, differences in study settings, and variations in the age and size of study samples. </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According to the study's findings, children in households with and without home gardens were noticeably more likely to get a good dietary diversity score than children in single-mother households. This finding is supported by a study conducted in Sub-Saharan Africa (31), which shows that marital status impacts household income and resource distribution, which in turn affects children's dietary diversity scores. Married couples often have more stable financial situations, allowing for better food security and more varied diets for their children than those who are single.</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This study indicated that children whose mothers have at least a college education are significantly </w:t>
      </w:r>
      <w:r w:rsidRPr="00454A2C">
        <w:rPr>
          <w:rFonts w:ascii="AdvPS5962" w:eastAsia="Times New Roman" w:hAnsi="AdvPS5962"/>
          <w:color w:val="000000" w:themeColor="text1"/>
          <w:sz w:val="22"/>
        </w:rPr>
        <w:lastRenderedPageBreak/>
        <w:t>more likely to have good dietary diversity. This finding agrees with studies conducted in northwest Ethiopia (32) and Southern Ethiopia (33). The possible reason might be that as the education level of the mother increased and as the mother engaged in paid work, there was access to more information on educational messages and different mass media like radio, television, and newspapers.</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The current study also showed that male children were more likely to have good dietary diversity scores compared to female children. It was consistent with the study findings reported from Ethiopia (34), which reflect that traditional gender roles and preferences in some communities can lead to boys receiving a wider variety of foods compared to girls. </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The study findings showed that children in households with home gardens are 1.49 times more likely to have good dietary diversity scores than their counterparts. The finding is in line with a study conducted in </w:t>
      </w:r>
      <w:r w:rsidRPr="00454A2C">
        <w:rPr>
          <w:rFonts w:ascii="AdvPS5962" w:hAnsi="AdvPS5962"/>
          <w:color w:val="000000" w:themeColor="text1"/>
          <w:sz w:val="22"/>
        </w:rPr>
        <w:t>Ethiopia (32).</w:t>
      </w:r>
      <w:r w:rsidRPr="00454A2C">
        <w:rPr>
          <w:rFonts w:ascii="AdvPS5962" w:eastAsia="Times New Roman" w:hAnsi="AdvPS5962"/>
          <w:color w:val="000000" w:themeColor="text1"/>
          <w:sz w:val="22"/>
        </w:rPr>
        <w:t xml:space="preserve"> Previous research has also demonstrated that home gardens can enhance food security and dietary diversity by providing a steady supply of fresh fruits and vegetables (35). Households with home gardens offer families the opportunity to diversify their diets and reduce reliance on purchased foods, which can be particularly beneficial in low-resource settings.</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Moreover, good maternal knowledge is significantly associated with good dietary </w:t>
      </w:r>
      <w:r w:rsidRPr="00454A2C">
        <w:rPr>
          <w:rFonts w:ascii="AdvPS5962" w:eastAsia="Times New Roman" w:hAnsi="AdvPS5962"/>
          <w:color w:val="000000" w:themeColor="text1"/>
          <w:sz w:val="22"/>
        </w:rPr>
        <w:t xml:space="preserve">diversity scores in both households with and without home gardens. This finding is consistent with the previous </w:t>
      </w:r>
      <w:r w:rsidRPr="000F4295">
        <w:rPr>
          <w:rFonts w:ascii="AdvPS5962" w:eastAsia="Times New Roman" w:hAnsi="AdvPS5962"/>
          <w:color w:val="000000" w:themeColor="text1"/>
          <w:sz w:val="22"/>
        </w:rPr>
        <w:t>stud</w:t>
      </w:r>
      <w:r w:rsidR="00DF6E20" w:rsidRPr="000F4295">
        <w:rPr>
          <w:rFonts w:ascii="AdvPS5962" w:eastAsia="Times New Roman" w:hAnsi="AdvPS5962"/>
          <w:color w:val="000000" w:themeColor="text1"/>
          <w:sz w:val="22"/>
        </w:rPr>
        <w:t>y</w:t>
      </w:r>
      <w:r w:rsidR="000F4295" w:rsidRPr="000F4295">
        <w:rPr>
          <w:rFonts w:ascii="AdvPS5962" w:eastAsia="Times New Roman" w:hAnsi="AdvPS5962"/>
          <w:color w:val="000000" w:themeColor="text1"/>
          <w:sz w:val="22"/>
        </w:rPr>
        <w:t xml:space="preserve"> </w:t>
      </w:r>
      <w:r w:rsidRPr="000F4295">
        <w:rPr>
          <w:rFonts w:ascii="AdvPS5962" w:eastAsia="Times New Roman" w:hAnsi="AdvPS5962"/>
          <w:color w:val="000000" w:themeColor="text1"/>
          <w:sz w:val="22"/>
        </w:rPr>
        <w:t>conducted</w:t>
      </w:r>
      <w:r w:rsidRPr="00454A2C">
        <w:rPr>
          <w:rFonts w:ascii="AdvPS5962" w:eastAsia="Times New Roman" w:hAnsi="AdvPS5962"/>
          <w:color w:val="000000" w:themeColor="text1"/>
          <w:sz w:val="22"/>
        </w:rPr>
        <w:t xml:space="preserve"> in Ethiopia (36). The possible explanation for this finding is that the awareness of mothers on the nutritional value of the different varieties of foods is a crucial factor in purchasing these foods regularly for their children.</w:t>
      </w:r>
    </w:p>
    <w:p w:rsidR="00454A2C" w:rsidRPr="00454A2C" w:rsidRDefault="00454A2C" w:rsidP="00454A2C">
      <w:pPr>
        <w:pStyle w:val="Fig"/>
        <w:spacing w:before="120" w:after="120"/>
        <w:rPr>
          <w:rFonts w:ascii="AdvPS5962" w:eastAsia="Times New Roman" w:hAnsi="AdvPS5962"/>
          <w:color w:val="000000" w:themeColor="text1"/>
          <w:sz w:val="22"/>
        </w:rPr>
      </w:pPr>
      <w:r w:rsidRPr="00454A2C">
        <w:rPr>
          <w:rFonts w:ascii="AdvPS5962" w:eastAsia="Times New Roman" w:hAnsi="AdvPS5962"/>
          <w:color w:val="000000" w:themeColor="text1"/>
          <w:sz w:val="22"/>
        </w:rPr>
        <w:t xml:space="preserve">According to the findings of this study, </w:t>
      </w:r>
      <w:r w:rsidRPr="00454A2C">
        <w:rPr>
          <w:rFonts w:ascii="AdvPS5962" w:hAnsi="AdvPS5962"/>
          <w:color w:val="000000" w:themeColor="text1"/>
          <w:sz w:val="22"/>
        </w:rPr>
        <w:t>children from wealthier families (rich) were significantly more likely to have good dietary diversity compared to their counterparts. This result is consistent with the studies conducted in Ethiopia (37) and East African countries (32). Other studies also emphasize that higher wealth enables access to a wider variety of nutritious foods and better living conditions, which positively affects children's dietary diversity (38). This may be due to the higher economic status, which may improve access to information, finance, and other resources required for improving dietary diversity scores of the children and families. Furthermore, t</w:t>
      </w:r>
      <w:r w:rsidRPr="00454A2C">
        <w:rPr>
          <w:rFonts w:ascii="AdvPS5962" w:eastAsia="Times New Roman" w:hAnsi="AdvPS5962"/>
          <w:color w:val="000000" w:themeColor="text1"/>
          <w:sz w:val="22"/>
        </w:rPr>
        <w:t xml:space="preserve">he result of this study indicated that younger children aged 6–23 months were significantly more likely to have good dietary diversity compared to those children aged 24–59 months in both households with and without home gardens. This result is supported </w:t>
      </w:r>
      <w:r w:rsidRPr="000F4295">
        <w:rPr>
          <w:rFonts w:ascii="AdvPS5962" w:eastAsia="Times New Roman" w:hAnsi="AdvPS5962"/>
          <w:color w:val="000000" w:themeColor="text1"/>
          <w:sz w:val="22"/>
        </w:rPr>
        <w:t xml:space="preserve">by </w:t>
      </w:r>
      <w:r w:rsidR="00DF6E20" w:rsidRPr="000F4295">
        <w:rPr>
          <w:rFonts w:ascii="AdvPS5962" w:eastAsia="Times New Roman" w:hAnsi="AdvPS5962"/>
          <w:color w:val="000000" w:themeColor="text1"/>
          <w:sz w:val="22"/>
        </w:rPr>
        <w:t xml:space="preserve">the </w:t>
      </w:r>
      <w:r w:rsidRPr="000F4295">
        <w:rPr>
          <w:rFonts w:ascii="AdvPS5962" w:eastAsia="Times New Roman" w:hAnsi="AdvPS5962"/>
          <w:color w:val="000000" w:themeColor="text1"/>
          <w:sz w:val="22"/>
        </w:rPr>
        <w:t>stud</w:t>
      </w:r>
      <w:r w:rsidR="00DF6E20" w:rsidRPr="000F4295">
        <w:rPr>
          <w:rFonts w:ascii="AdvPS5962" w:eastAsia="Times New Roman" w:hAnsi="AdvPS5962"/>
          <w:color w:val="000000" w:themeColor="text1"/>
          <w:sz w:val="22"/>
        </w:rPr>
        <w:t>y</w:t>
      </w:r>
      <w:r w:rsidR="000F4295" w:rsidRPr="000F4295">
        <w:rPr>
          <w:rFonts w:ascii="AdvPS5962" w:eastAsia="Times New Roman" w:hAnsi="AdvPS5962"/>
          <w:color w:val="000000" w:themeColor="text1"/>
          <w:sz w:val="22"/>
        </w:rPr>
        <w:t xml:space="preserve"> </w:t>
      </w:r>
      <w:r w:rsidRPr="000F4295">
        <w:rPr>
          <w:rFonts w:ascii="AdvPS5962" w:eastAsia="Times New Roman" w:hAnsi="AdvPS5962"/>
          <w:color w:val="000000" w:themeColor="text1"/>
          <w:sz w:val="22"/>
        </w:rPr>
        <w:t>conducted</w:t>
      </w:r>
      <w:r w:rsidRPr="00454A2C">
        <w:rPr>
          <w:rFonts w:ascii="AdvPS5962" w:eastAsia="Times New Roman" w:hAnsi="AdvPS5962"/>
          <w:color w:val="000000" w:themeColor="text1"/>
          <w:sz w:val="22"/>
        </w:rPr>
        <w:t xml:space="preserve"> in Ethiopia (39)</w:t>
      </w:r>
      <w:r w:rsidRPr="00454A2C">
        <w:rPr>
          <w:rFonts w:ascii="AdvPS5962" w:eastAsia="Times New Roman" w:hAnsi="AdvPS5962"/>
          <w:color w:val="000000" w:themeColor="text1"/>
          <w:sz w:val="22"/>
          <w:shd w:val="clear" w:color="auto" w:fill="FFFFFF"/>
        </w:rPr>
        <w:t xml:space="preserve">. This could be </w:t>
      </w:r>
      <w:r w:rsidRPr="00454A2C">
        <w:rPr>
          <w:rFonts w:ascii="AdvPS5962" w:eastAsia="Times New Roman" w:hAnsi="AdvPS5962"/>
          <w:color w:val="000000" w:themeColor="text1"/>
          <w:sz w:val="22"/>
        </w:rPr>
        <w:t xml:space="preserve">due to more intensive monitoring and targeted nutritional interventions during the earlier years of life. Further, younger children may often </w:t>
      </w:r>
      <w:r w:rsidRPr="00454A2C">
        <w:rPr>
          <w:rFonts w:ascii="AdvPS5962" w:eastAsia="Times New Roman" w:hAnsi="AdvPS5962"/>
          <w:color w:val="000000" w:themeColor="text1"/>
          <w:sz w:val="22"/>
        </w:rPr>
        <w:lastRenderedPageBreak/>
        <w:t xml:space="preserve">receive more focused dietary support, which can lead to better nutritional outcomes. </w:t>
      </w:r>
    </w:p>
    <w:p w:rsidR="00454A2C" w:rsidRPr="000F4295" w:rsidRDefault="00454A2C" w:rsidP="000F4295">
      <w:pPr>
        <w:rPr>
          <w:rFonts w:ascii="AdvPS5962" w:eastAsia="Times New Roman" w:hAnsi="AdvPS5962" w:cs="Times New Roman"/>
          <w:b/>
          <w:color w:val="000000" w:themeColor="text1"/>
        </w:rPr>
      </w:pPr>
      <w:bookmarkStart w:id="38" w:name="_Toc178151335"/>
      <w:r w:rsidRPr="000F4295">
        <w:rPr>
          <w:rFonts w:ascii="AdvPS5962" w:eastAsia="Times New Roman" w:hAnsi="AdvPS5962" w:cs="Times New Roman"/>
          <w:b/>
          <w:color w:val="000000" w:themeColor="text1"/>
        </w:rPr>
        <w:t xml:space="preserve">Conclusions </w:t>
      </w:r>
      <w:bookmarkEnd w:id="38"/>
    </w:p>
    <w:p w:rsidR="00454A2C" w:rsidRPr="00454A2C" w:rsidRDefault="00454A2C" w:rsidP="00454A2C">
      <w:pPr>
        <w:spacing w:before="120" w:after="120" w:line="360" w:lineRule="auto"/>
        <w:jc w:val="both"/>
        <w:rPr>
          <w:rFonts w:ascii="AdvPS5962" w:eastAsia="Times New Roman" w:hAnsi="AdvPS5962" w:cs="Times New Roman"/>
          <w:color w:val="000000" w:themeColor="text1"/>
        </w:rPr>
      </w:pPr>
      <w:bookmarkStart w:id="39" w:name="_Toc178151337"/>
      <w:r w:rsidRPr="00454A2C">
        <w:rPr>
          <w:rFonts w:ascii="AdvPS5962" w:eastAsia="Times New Roman" w:hAnsi="AdvPS5962" w:cs="Times New Roman"/>
          <w:color w:val="000000" w:themeColor="text1"/>
        </w:rPr>
        <w:t xml:space="preserve">This study concluded that the prevalence of good dietary diversity scores among children in households with home gardens was higher among the children from households with home gardens than those from households without home gardens in the study area. The key factors associated with dietary diversity scores were maternal  marital status (married mothers), maternal educational status (college and above),  higher household wealth index, younger children aged 6-23 months, home gardening practices, and good maternal knowledge. Therefore, all responsible bodies should implement and support community-based home gardening programs by providing necessary resources, training, and materials to households. In addition, collaboration with local agricultural and </w:t>
      </w:r>
      <w:r w:rsidRPr="000F4295">
        <w:rPr>
          <w:rFonts w:ascii="AdvPS5962" w:eastAsia="Times New Roman" w:hAnsi="AdvPS5962" w:cs="Times New Roman"/>
          <w:color w:val="000000" w:themeColor="text1"/>
        </w:rPr>
        <w:t xml:space="preserve">health </w:t>
      </w:r>
      <w:r w:rsidR="00DF6E20" w:rsidRPr="000F4295">
        <w:rPr>
          <w:rFonts w:ascii="AdvPS5962" w:eastAsia="Times New Roman" w:hAnsi="AdvPS5962" w:cs="Times New Roman"/>
          <w:color w:val="000000" w:themeColor="text1"/>
        </w:rPr>
        <w:t xml:space="preserve">sectors </w:t>
      </w:r>
      <w:r w:rsidRPr="000F4295">
        <w:rPr>
          <w:rFonts w:ascii="AdvPS5962" w:eastAsia="Times New Roman" w:hAnsi="AdvPS5962" w:cs="Times New Roman"/>
          <w:color w:val="000000" w:themeColor="text1"/>
        </w:rPr>
        <w:t>is recommended</w:t>
      </w:r>
      <w:r w:rsidRPr="00454A2C">
        <w:rPr>
          <w:rFonts w:ascii="AdvPS5962" w:eastAsia="Times New Roman" w:hAnsi="AdvPS5962" w:cs="Times New Roman"/>
          <w:color w:val="000000" w:themeColor="text1"/>
        </w:rPr>
        <w:t xml:space="preserve"> to create awareness campaigns that highlight the benefits of home gardens in improving dietary diversity as a key strategy for malnutrition reduction, and to encourage household-level participation.</w:t>
      </w:r>
    </w:p>
    <w:p w:rsidR="00454A2C" w:rsidRPr="00454A2C" w:rsidRDefault="00454A2C" w:rsidP="00454A2C">
      <w:pPr>
        <w:spacing w:line="360" w:lineRule="auto"/>
        <w:jc w:val="both"/>
        <w:rPr>
          <w:rFonts w:ascii="AdvPS5962" w:hAnsi="AdvPS5962" w:cs="Times New Roman"/>
          <w:b/>
          <w:bCs/>
          <w:color w:val="000000" w:themeColor="text1"/>
        </w:rPr>
      </w:pPr>
      <w:bookmarkStart w:id="40" w:name="_Toc166711090"/>
      <w:bookmarkStart w:id="41" w:name="_Toc178151338"/>
      <w:bookmarkEnd w:id="39"/>
      <w:r w:rsidRPr="00454A2C">
        <w:rPr>
          <w:rFonts w:ascii="AdvPS5962" w:hAnsi="AdvPS5962" w:cs="Times New Roman"/>
          <w:b/>
          <w:bCs/>
          <w:color w:val="000000" w:themeColor="text1"/>
        </w:rPr>
        <w:t xml:space="preserve">List of abbreviations </w:t>
      </w:r>
    </w:p>
    <w:p w:rsidR="00454A2C" w:rsidRPr="00454A2C" w:rsidRDefault="00454A2C" w:rsidP="00454A2C">
      <w:pPr>
        <w:spacing w:line="360" w:lineRule="auto"/>
        <w:jc w:val="both"/>
        <w:rPr>
          <w:rFonts w:ascii="AdvPS5962" w:eastAsia="DejaVu Sans" w:hAnsi="AdvPS5962" w:cs="Times New Roman"/>
          <w:color w:val="000000" w:themeColor="text1"/>
        </w:rPr>
      </w:pPr>
      <w:r w:rsidRPr="00454A2C">
        <w:rPr>
          <w:rFonts w:ascii="AdvPS5962" w:eastAsia="DejaVu Sans" w:hAnsi="AdvPS5962" w:cs="Times New Roman"/>
          <w:color w:val="000000" w:themeColor="text1"/>
        </w:rPr>
        <w:t xml:space="preserve">AOR- Adjusted Odds Ratio, CSA-Central Statistics Agency, DDS-Dietary Diversity Scores, EDHS- Ethiopian Demographic and Health Survey, FANTA-Food and Nutrition Technical Assistance, FAO-Food and Agriculture Organization, IYCF-Infant and Young Child Feeding, NNP-National </w:t>
      </w:r>
      <w:r w:rsidRPr="00454A2C">
        <w:rPr>
          <w:rFonts w:ascii="AdvPS5962" w:eastAsia="DejaVu Sans" w:hAnsi="AdvPS5962" w:cs="Times New Roman"/>
          <w:color w:val="000000" w:themeColor="text1"/>
        </w:rPr>
        <w:t>Nutrition Program, SPSS-Statistical Package for Social Sciences, UNICEF-United Nations International Children's Fund</w:t>
      </w:r>
    </w:p>
    <w:p w:rsidR="00454A2C" w:rsidRPr="00454A2C" w:rsidRDefault="00454A2C" w:rsidP="00454A2C">
      <w:pPr>
        <w:spacing w:line="360" w:lineRule="auto"/>
        <w:jc w:val="both"/>
        <w:rPr>
          <w:rFonts w:ascii="AdvPS5962" w:hAnsi="AdvPS5962" w:cs="Times New Roman"/>
          <w:b/>
          <w:bCs/>
          <w:color w:val="000000" w:themeColor="text1"/>
        </w:rPr>
      </w:pPr>
      <w:r w:rsidRPr="00454A2C">
        <w:rPr>
          <w:rFonts w:ascii="AdvPS5962" w:hAnsi="AdvPS5962" w:cs="Times New Roman"/>
          <w:b/>
          <w:bCs/>
          <w:color w:val="000000" w:themeColor="text1"/>
        </w:rPr>
        <w:t>Declarations</w:t>
      </w:r>
    </w:p>
    <w:p w:rsidR="00454A2C" w:rsidRPr="00454A2C" w:rsidRDefault="00454A2C" w:rsidP="00454A2C">
      <w:pPr>
        <w:spacing w:line="360" w:lineRule="auto"/>
        <w:jc w:val="both"/>
        <w:rPr>
          <w:rFonts w:ascii="AdvPS5962" w:eastAsia="DejaVu Sans" w:hAnsi="AdvPS5962" w:cs="Times New Roman"/>
          <w:b/>
          <w:color w:val="000000" w:themeColor="text1"/>
        </w:rPr>
      </w:pPr>
      <w:r w:rsidRPr="00454A2C">
        <w:rPr>
          <w:rFonts w:ascii="AdvPS5962" w:eastAsia="DejaVu Sans" w:hAnsi="AdvPS5962" w:cs="Times New Roman"/>
          <w:b/>
          <w:color w:val="000000" w:themeColor="text1"/>
        </w:rPr>
        <w:t xml:space="preserve">Ethical consideration </w:t>
      </w:r>
    </w:p>
    <w:p w:rsidR="00454A2C" w:rsidRPr="00454A2C" w:rsidRDefault="00454A2C" w:rsidP="00454A2C">
      <w:pPr>
        <w:spacing w:line="360" w:lineRule="auto"/>
        <w:jc w:val="both"/>
        <w:rPr>
          <w:rFonts w:ascii="AdvPS5962" w:eastAsia="DejaVu Sans" w:hAnsi="AdvPS5962" w:cs="Times New Roman"/>
          <w:color w:val="000000" w:themeColor="text1"/>
        </w:rPr>
      </w:pPr>
      <w:r w:rsidRPr="00454A2C">
        <w:rPr>
          <w:rFonts w:ascii="AdvPS5962" w:eastAsia="DejaVu Sans" w:hAnsi="AdvPS5962" w:cs="Times New Roman"/>
          <w:color w:val="000000" w:themeColor="text1"/>
        </w:rPr>
        <w:t xml:space="preserve">Ethical clearance was obtained from </w:t>
      </w:r>
      <w:proofErr w:type="spellStart"/>
      <w:r w:rsidRPr="00454A2C">
        <w:rPr>
          <w:rFonts w:ascii="AdvPS5962" w:eastAsia="DejaVu Sans" w:hAnsi="AdvPS5962" w:cs="Times New Roman"/>
          <w:color w:val="000000" w:themeColor="text1"/>
        </w:rPr>
        <w:t>Salale</w:t>
      </w:r>
      <w:proofErr w:type="spellEnd"/>
      <w:r w:rsidRPr="00454A2C">
        <w:rPr>
          <w:rFonts w:ascii="AdvPS5962" w:eastAsia="DejaVu Sans" w:hAnsi="AdvPS5962" w:cs="Times New Roman"/>
          <w:color w:val="000000" w:themeColor="text1"/>
        </w:rPr>
        <w:t xml:space="preserve"> University Institution Research Ethical Review Committee (SLU-2023/236).  The research was carried out according to the Declaration of Helsinki, which pertains to medical research involving human subjects. Written informed consent was obtained from all participants prior to their inclusion explaining the study's aims and methods. Informed consent in writing was secured from every participant after a comprehensive Participant privacy was preserved by refraining from gathering data on variables that might disclose their identity and by limiting access to the data.</w:t>
      </w:r>
    </w:p>
    <w:p w:rsidR="00454A2C" w:rsidRPr="00454A2C" w:rsidRDefault="00454A2C" w:rsidP="00454A2C">
      <w:pPr>
        <w:spacing w:line="360" w:lineRule="auto"/>
        <w:jc w:val="both"/>
        <w:rPr>
          <w:rFonts w:ascii="AdvPS5962" w:hAnsi="AdvPS5962" w:cs="Times New Roman"/>
          <w:color w:val="000000" w:themeColor="text1"/>
        </w:rPr>
      </w:pPr>
      <w:r w:rsidRPr="00454A2C">
        <w:rPr>
          <w:rFonts w:ascii="AdvPS5962" w:hAnsi="AdvPS5962" w:cs="Times New Roman"/>
          <w:b/>
          <w:bCs/>
          <w:color w:val="000000" w:themeColor="text1"/>
        </w:rPr>
        <w:t>Consent for publication</w:t>
      </w:r>
      <w:r w:rsidRPr="00454A2C">
        <w:rPr>
          <w:rFonts w:ascii="AdvPS5962" w:hAnsi="AdvPS5962" w:cs="Times New Roman"/>
          <w:color w:val="000000" w:themeColor="text1"/>
        </w:rPr>
        <w:t xml:space="preserve">: Not applicable </w:t>
      </w:r>
    </w:p>
    <w:p w:rsidR="00454A2C" w:rsidRPr="00454A2C" w:rsidRDefault="00454A2C" w:rsidP="00454A2C">
      <w:pPr>
        <w:spacing w:line="360" w:lineRule="auto"/>
        <w:jc w:val="both"/>
        <w:rPr>
          <w:rFonts w:ascii="AdvPS5962" w:hAnsi="AdvPS5962" w:cs="Times New Roman"/>
          <w:color w:val="000000" w:themeColor="text1"/>
        </w:rPr>
      </w:pPr>
      <w:r w:rsidRPr="00454A2C">
        <w:rPr>
          <w:rFonts w:ascii="AdvPS5962" w:hAnsi="AdvPS5962" w:cs="Times New Roman"/>
          <w:b/>
          <w:bCs/>
          <w:color w:val="000000" w:themeColor="text1"/>
        </w:rPr>
        <w:t>Availability of data and materials</w:t>
      </w:r>
      <w:r w:rsidRPr="00454A2C">
        <w:rPr>
          <w:rFonts w:ascii="AdvPS5962" w:hAnsi="AdvPS5962" w:cs="Times New Roman"/>
          <w:color w:val="000000" w:themeColor="text1"/>
        </w:rPr>
        <w:t xml:space="preserve">: The dataset utilized in this research can be obtained from the corresponding author upon a reasonable request. </w:t>
      </w:r>
    </w:p>
    <w:p w:rsidR="00454A2C" w:rsidRPr="00454A2C" w:rsidRDefault="00454A2C" w:rsidP="00454A2C">
      <w:pPr>
        <w:spacing w:line="360" w:lineRule="auto"/>
        <w:jc w:val="both"/>
        <w:rPr>
          <w:rFonts w:ascii="AdvPS5962" w:hAnsi="AdvPS5962" w:cs="Times New Roman"/>
          <w:b/>
          <w:bCs/>
          <w:color w:val="000000" w:themeColor="text1"/>
        </w:rPr>
      </w:pPr>
      <w:r w:rsidRPr="00454A2C">
        <w:rPr>
          <w:rFonts w:ascii="AdvPS5962" w:hAnsi="AdvPS5962" w:cs="Times New Roman"/>
          <w:b/>
          <w:bCs/>
          <w:color w:val="000000" w:themeColor="text1"/>
        </w:rPr>
        <w:t xml:space="preserve">Authors’ contributions </w:t>
      </w:r>
    </w:p>
    <w:p w:rsidR="00454A2C" w:rsidRPr="00454A2C" w:rsidRDefault="00454A2C" w:rsidP="00454A2C">
      <w:pPr>
        <w:spacing w:line="360" w:lineRule="auto"/>
        <w:jc w:val="both"/>
        <w:rPr>
          <w:rFonts w:ascii="AdvPS5962" w:hAnsi="AdvPS5962" w:cs="Times New Roman"/>
          <w:color w:val="000000" w:themeColor="text1"/>
        </w:rPr>
      </w:pPr>
      <w:r w:rsidRPr="00454A2C">
        <w:rPr>
          <w:rFonts w:ascii="AdvPS5962" w:hAnsi="AdvPS5962" w:cs="Times New Roman"/>
          <w:color w:val="000000" w:themeColor="text1"/>
        </w:rPr>
        <w:t xml:space="preserve">YZ conceived the study, conducted the analysis, and drafted the manuscript. TY and RS critically reviewed the manuscript. All authors approved the submission of the manuscript. </w:t>
      </w:r>
    </w:p>
    <w:p w:rsidR="00454A2C" w:rsidRPr="00454A2C" w:rsidRDefault="00454A2C" w:rsidP="00454A2C">
      <w:pPr>
        <w:spacing w:line="360" w:lineRule="auto"/>
        <w:jc w:val="both"/>
        <w:rPr>
          <w:rFonts w:ascii="AdvPS5962" w:hAnsi="AdvPS5962" w:cs="Times New Roman"/>
          <w:color w:val="000000" w:themeColor="text1"/>
        </w:rPr>
      </w:pPr>
      <w:r w:rsidRPr="00454A2C">
        <w:rPr>
          <w:rFonts w:ascii="AdvPS5962" w:hAnsi="AdvPS5962" w:cs="Times New Roman"/>
          <w:b/>
          <w:bCs/>
          <w:color w:val="000000" w:themeColor="text1"/>
        </w:rPr>
        <w:t xml:space="preserve">Acknowledgments </w:t>
      </w:r>
    </w:p>
    <w:p w:rsidR="00454A2C" w:rsidRPr="00454A2C" w:rsidRDefault="00454A2C" w:rsidP="00454A2C">
      <w:pPr>
        <w:spacing w:line="360" w:lineRule="auto"/>
        <w:jc w:val="both"/>
        <w:rPr>
          <w:rFonts w:ascii="AdvPS5962" w:hAnsi="AdvPS5962" w:cs="Times New Roman"/>
          <w:color w:val="000000" w:themeColor="text1"/>
        </w:rPr>
      </w:pPr>
      <w:r w:rsidRPr="00454A2C">
        <w:rPr>
          <w:rFonts w:ascii="AdvPS5962" w:hAnsi="AdvPS5962" w:cs="Times New Roman"/>
          <w:color w:val="000000" w:themeColor="text1"/>
        </w:rPr>
        <w:lastRenderedPageBreak/>
        <w:t>The authors acknowledge, all data collectors, supervisors, and participants for their tolerance and commitment during data collection.</w:t>
      </w:r>
    </w:p>
    <w:p w:rsidR="00454A2C" w:rsidRPr="00454A2C" w:rsidRDefault="00454A2C" w:rsidP="00454A2C">
      <w:pPr>
        <w:spacing w:line="360" w:lineRule="auto"/>
        <w:jc w:val="both"/>
        <w:rPr>
          <w:rFonts w:ascii="AdvPS5962" w:eastAsia="Times New Roman" w:hAnsi="AdvPS5962" w:cs="Times New Roman"/>
          <w:b/>
          <w:color w:val="000000" w:themeColor="text1"/>
        </w:rPr>
      </w:pPr>
      <w:r w:rsidRPr="00454A2C">
        <w:rPr>
          <w:rFonts w:ascii="AdvPS5962" w:hAnsi="AdvPS5962" w:cs="Times New Roman"/>
          <w:b/>
          <w:color w:val="000000" w:themeColor="text1"/>
        </w:rPr>
        <w:t>REFERENCES</w:t>
      </w:r>
      <w:bookmarkEnd w:id="40"/>
      <w:bookmarkEnd w:id="41"/>
      <w:r w:rsidRPr="00454A2C">
        <w:rPr>
          <w:rFonts w:ascii="AdvPS5962" w:hAnsi="AdvPS5962" w:cs="Times New Roman"/>
          <w:b/>
          <w:color w:val="000000" w:themeColor="text1"/>
        </w:rPr>
        <w:t xml:space="preserve">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Saha J, Chouhan P, Malik NI,  et al. Effects of Dietary Diversity on Growth Outcomes of Children and Health Survey. </w:t>
      </w:r>
      <w:r w:rsidRPr="00454A2C">
        <w:rPr>
          <w:rFonts w:ascii="AdvPS5962" w:hAnsi="AdvPS5962" w:cs="Times New Roman"/>
          <w:i/>
          <w:noProof/>
          <w:color w:val="000000" w:themeColor="text1"/>
        </w:rPr>
        <w:t>Nutrients.</w:t>
      </w:r>
      <w:r w:rsidRPr="00454A2C">
        <w:rPr>
          <w:rFonts w:ascii="AdvPS5962" w:hAnsi="AdvPS5962" w:cs="Times New Roman"/>
          <w:noProof/>
          <w:color w:val="000000" w:themeColor="text1"/>
        </w:rPr>
        <w:t xml:space="preserve"> 2023;15(159):1–16.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Belay DG, Aragaw FM, Teklu RE, Fetene SM, Negash WD, Asmamaw DB, Fentie EA, Alemu TG, Eshetu HB, Shewarega ES. Determinants of inadequate minimum dietary diversity intake among children aged 6–23 months in sub-Saharan Africa: pooled prevalence and multilevel analysis of demographic and health survey in 33 sub-Saharan African Countries. </w:t>
      </w:r>
      <w:r w:rsidRPr="00454A2C">
        <w:rPr>
          <w:rFonts w:ascii="AdvPS5962" w:hAnsi="AdvPS5962" w:cs="Times New Roman"/>
          <w:i/>
          <w:noProof/>
          <w:color w:val="000000" w:themeColor="text1"/>
        </w:rPr>
        <w:t>Frontiers in Nutrition</w:t>
      </w:r>
      <w:r w:rsidRPr="00454A2C">
        <w:rPr>
          <w:rFonts w:ascii="AdvPS5962" w:hAnsi="AdvPS5962" w:cs="Times New Roman"/>
          <w:noProof/>
          <w:color w:val="000000" w:themeColor="text1"/>
        </w:rPr>
        <w:t>. 2022 Jul 1;9:894552.</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Ahmed T, Hossain M, Istiaque K, et al. Global Burden of Maternal and Child Undernutrition and Micronutrient Deficiencies Gl. </w:t>
      </w:r>
      <w:r w:rsidRPr="00454A2C">
        <w:rPr>
          <w:rFonts w:ascii="AdvPS5962" w:hAnsi="AdvPS5962" w:cs="Times New Roman"/>
          <w:i/>
          <w:noProof/>
          <w:color w:val="000000" w:themeColor="text1"/>
        </w:rPr>
        <w:t>Nutr Metab</w:t>
      </w:r>
      <w:r w:rsidRPr="00454A2C">
        <w:rPr>
          <w:rFonts w:ascii="AdvPS5962" w:hAnsi="AdvPS5962" w:cs="Times New Roman"/>
          <w:noProof/>
          <w:color w:val="000000" w:themeColor="text1"/>
        </w:rPr>
        <w:t xml:space="preserve">. 2013;1(61):8–17.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Keeley B, Little C, Zuehlke E. The State of the World’s Children 2019: Children, Food and Nutrition--Growing Well in a Changing World. Unicef. 2019. 258 p.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Raru TB, Merga BT, Mulatu G,  et al. Minimum Dietary Diversity Among Children Aged 6–59 Months in East African Countries: A Multilevel Analysis. </w:t>
      </w:r>
      <w:r w:rsidRPr="00454A2C">
        <w:rPr>
          <w:rFonts w:ascii="AdvPS5962" w:hAnsi="AdvPS5962" w:cs="Times New Roman"/>
          <w:i/>
          <w:noProof/>
          <w:color w:val="000000" w:themeColor="text1"/>
        </w:rPr>
        <w:t>Int J Public Health</w:t>
      </w:r>
      <w:r w:rsidRPr="00454A2C">
        <w:rPr>
          <w:rFonts w:ascii="AdvPS5962" w:hAnsi="AdvPS5962" w:cs="Times New Roman"/>
          <w:noProof/>
          <w:color w:val="000000" w:themeColor="text1"/>
        </w:rPr>
        <w:t>. 2023;68:1–11.</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Ruff O, Neumann F. The State Agriculture and Food. Vol. 130, FAO. 2013. 114 p.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Bailey RL, West Jr KP, Black RE. The </w:t>
      </w:r>
      <w:r w:rsidRPr="00454A2C">
        <w:rPr>
          <w:rFonts w:ascii="AdvPS5962" w:hAnsi="AdvPS5962" w:cs="Times New Roman"/>
          <w:noProof/>
          <w:color w:val="000000" w:themeColor="text1"/>
        </w:rPr>
        <w:t>epidemiology of global micronutrient deficiencies. Annals of nutrition and metabolism. 2015 Jun 1;66(Suppl. 2):22-33.</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United Nations International Children’s Fund (UNICEF), World Health Organization (WHO), International Bank for Reconstruction and Development/The World Bank (2023). Levels and trends in child malnutrition: UNICEF / WHO / World Bank Group Joint Child Malnutrition Estimates: Key findings of the 2023 edition. New York.</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Agrawal S, Kim R, Gausman J,  et al. Socio-economic patterning of food consumption and dietary diversity among Indian children: evidence from NFHS-4. </w:t>
      </w:r>
      <w:r w:rsidRPr="00454A2C">
        <w:rPr>
          <w:rFonts w:ascii="AdvPS5962" w:hAnsi="AdvPS5962" w:cs="Times New Roman"/>
          <w:i/>
          <w:noProof/>
          <w:color w:val="000000" w:themeColor="text1"/>
        </w:rPr>
        <w:t>Eur J Clin Nutr</w:t>
      </w:r>
      <w:r w:rsidRPr="00454A2C">
        <w:rPr>
          <w:rFonts w:ascii="AdvPS5962" w:hAnsi="AdvPS5962" w:cs="Times New Roman"/>
          <w:noProof/>
          <w:color w:val="000000" w:themeColor="text1"/>
        </w:rPr>
        <w:t xml:space="preserve">. 2019;73:1361–72.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Ali NB, Tahsina T, Emdadul Hoque DM,  et al. Association of food security and other socioeconomic factors with dietary diversity and nutritional statuses of children aged 6-59 months in rural Bangladesh. </w:t>
      </w:r>
      <w:r w:rsidRPr="00454A2C">
        <w:rPr>
          <w:rFonts w:ascii="AdvPS5962" w:hAnsi="AdvPS5962" w:cs="Times New Roman"/>
          <w:i/>
          <w:noProof/>
          <w:color w:val="000000" w:themeColor="text1"/>
        </w:rPr>
        <w:t>PLoS One</w:t>
      </w:r>
      <w:r w:rsidRPr="00454A2C">
        <w:rPr>
          <w:rFonts w:ascii="AdvPS5962" w:hAnsi="AdvPS5962" w:cs="Times New Roman"/>
          <w:noProof/>
          <w:color w:val="000000" w:themeColor="text1"/>
        </w:rPr>
        <w:t xml:space="preserve">. 2019;14(e0221929):1–18.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Baek Y, Chitekwe S. Sociodemographic factors associated with inadequate food group consumption and dietary diversity among infants and young children in Nepal. </w:t>
      </w:r>
      <w:r w:rsidRPr="00454A2C">
        <w:rPr>
          <w:rFonts w:ascii="AdvPS5962" w:hAnsi="AdvPS5962" w:cs="Times New Roman"/>
          <w:i/>
          <w:noProof/>
          <w:color w:val="000000" w:themeColor="text1"/>
        </w:rPr>
        <w:t>PLoS One</w:t>
      </w:r>
      <w:r w:rsidRPr="00454A2C">
        <w:rPr>
          <w:rFonts w:ascii="AdvPS5962" w:hAnsi="AdvPS5962" w:cs="Times New Roman"/>
          <w:noProof/>
          <w:color w:val="000000" w:themeColor="text1"/>
        </w:rPr>
        <w:t xml:space="preserve">. 2019;14(e0213610):1–17.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Paramashanti BA, Huda TM, Alam A, et al. Trends and determinants of minimum dietary diversity among children aged 6 – 23 months : a pooled analysis of Indonesia Demographic and Health Surveys from 2007 to 2017. </w:t>
      </w:r>
      <w:r w:rsidRPr="00454A2C">
        <w:rPr>
          <w:rFonts w:ascii="AdvPS5962" w:hAnsi="AdvPS5962" w:cs="Times New Roman"/>
          <w:i/>
          <w:noProof/>
          <w:color w:val="000000" w:themeColor="text1"/>
        </w:rPr>
        <w:t>Public Health Nutr</w:t>
      </w:r>
      <w:r w:rsidRPr="00454A2C">
        <w:rPr>
          <w:rFonts w:ascii="AdvPS5962" w:hAnsi="AdvPS5962" w:cs="Times New Roman"/>
          <w:noProof/>
          <w:color w:val="000000" w:themeColor="text1"/>
        </w:rPr>
        <w:t xml:space="preserve">. 2021;25 (7):1956–67.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lastRenderedPageBreak/>
        <w:t xml:space="preserve">Amugsi, D.A., Dimbuene, Z.T., Kimani-Murage, et al. Differential effects of dietary diversity and maternal characteristics on linear growth of children aged 6–59 months in sub-Saharan Africa: a multi-country analysis. </w:t>
      </w:r>
      <w:r w:rsidRPr="00454A2C">
        <w:rPr>
          <w:rFonts w:ascii="AdvPS5962" w:hAnsi="AdvPS5962" w:cs="Times New Roman"/>
          <w:i/>
          <w:noProof/>
          <w:color w:val="000000" w:themeColor="text1"/>
        </w:rPr>
        <w:t>Public health nutrition</w:t>
      </w:r>
      <w:r w:rsidRPr="00454A2C">
        <w:rPr>
          <w:rFonts w:ascii="AdvPS5962" w:hAnsi="AdvPS5962" w:cs="Times New Roman"/>
          <w:noProof/>
          <w:color w:val="000000" w:themeColor="text1"/>
        </w:rPr>
        <w:t>. 2017; 20(6), pp.1029-1045.</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Dangura D, Gebremedhin S. Dietary diversity and associated factors among children 6-23 months of age in Gorche district, Southern Ethiopia: Cross-sectional study. </w:t>
      </w:r>
      <w:r w:rsidRPr="00454A2C">
        <w:rPr>
          <w:rFonts w:ascii="AdvPS5962" w:hAnsi="AdvPS5962" w:cs="Times New Roman"/>
          <w:i/>
          <w:noProof/>
          <w:color w:val="000000" w:themeColor="text1"/>
        </w:rPr>
        <w:t>BMC Pediatr</w:t>
      </w:r>
      <w:r w:rsidRPr="00454A2C">
        <w:rPr>
          <w:rFonts w:ascii="AdvPS5962" w:hAnsi="AdvPS5962" w:cs="Times New Roman"/>
          <w:noProof/>
          <w:color w:val="000000" w:themeColor="text1"/>
        </w:rPr>
        <w:t xml:space="preserve">. 2017;17(6):1–7.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Sisay BG, Afework T, Jima BR, et al.  Dietary diversity and its determinants among children aged 6–23 months in Ethiopia: evidence from the 2016 Demographic and Health Survey. </w:t>
      </w:r>
      <w:r w:rsidRPr="00454A2C">
        <w:rPr>
          <w:rFonts w:ascii="AdvPS5962" w:hAnsi="AdvPS5962" w:cs="Times New Roman"/>
          <w:i/>
          <w:noProof/>
          <w:color w:val="000000" w:themeColor="text1"/>
        </w:rPr>
        <w:t>J Nutr Sci.</w:t>
      </w:r>
      <w:r w:rsidRPr="00454A2C">
        <w:rPr>
          <w:rFonts w:ascii="AdvPS5962" w:hAnsi="AdvPS5962" w:cs="Times New Roman"/>
          <w:noProof/>
          <w:color w:val="000000" w:themeColor="text1"/>
        </w:rPr>
        <w:t xml:space="preserve"> 2022;11(e88):1–9.</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UNICEF. National Food and Nutrition Strategy Baseline Survey. UNICEF. 2023. 1–30 p.</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Bedada Damtie S, Benti Tefera T, Tegegne Haile M. Dietary Diversity Practice and Associated Factors among Children Aged 6-23 Months in Robe Town, Bale Zone, Ethiopia. </w:t>
      </w:r>
      <w:r w:rsidRPr="00454A2C">
        <w:rPr>
          <w:rFonts w:ascii="AdvPS5962" w:hAnsi="AdvPS5962" w:cs="Times New Roman"/>
          <w:i/>
          <w:noProof/>
          <w:color w:val="000000" w:themeColor="text1"/>
        </w:rPr>
        <w:t>J Nutr Metab</w:t>
      </w:r>
      <w:r w:rsidRPr="00454A2C">
        <w:rPr>
          <w:rFonts w:ascii="AdvPS5962" w:hAnsi="AdvPS5962" w:cs="Times New Roman"/>
          <w:noProof/>
          <w:color w:val="000000" w:themeColor="text1"/>
        </w:rPr>
        <w:t>. 2020;2020:8</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Lencha B, Urgessa M, Lemessa F, Minda Z, Beressa G, Ganfure G, Degno S. Severe acute malnutrition among children in Bale zone Southeast ethiopia: treatment outcome and its determinant factors. </w:t>
      </w:r>
      <w:r w:rsidRPr="00454A2C">
        <w:rPr>
          <w:rFonts w:ascii="AdvPS5962" w:hAnsi="AdvPS5962" w:cs="Times New Roman"/>
          <w:i/>
          <w:noProof/>
          <w:color w:val="000000" w:themeColor="text1"/>
        </w:rPr>
        <w:t>The Journal of Pediatrics.</w:t>
      </w:r>
      <w:r w:rsidRPr="00454A2C">
        <w:rPr>
          <w:rFonts w:ascii="AdvPS5962" w:hAnsi="AdvPS5962" w:cs="Times New Roman"/>
          <w:noProof/>
          <w:color w:val="000000" w:themeColor="text1"/>
        </w:rPr>
        <w:t xml:space="preserve"> 2024 Jan 1;264:113743.</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Anato, A. Severe acute malnutrition and associated factors among children under-five years: A community-based cross-sectional study in Ethiopia. </w:t>
      </w:r>
      <w:r w:rsidRPr="00454A2C">
        <w:rPr>
          <w:rFonts w:ascii="AdvPS5962" w:hAnsi="AdvPS5962" w:cs="Times New Roman"/>
          <w:i/>
          <w:noProof/>
          <w:color w:val="000000" w:themeColor="text1"/>
        </w:rPr>
        <w:t>Heliyon</w:t>
      </w:r>
      <w:r w:rsidRPr="00454A2C">
        <w:rPr>
          <w:rFonts w:ascii="AdvPS5962" w:hAnsi="AdvPS5962" w:cs="Times New Roman"/>
          <w:noProof/>
          <w:color w:val="000000" w:themeColor="text1"/>
        </w:rPr>
        <w:t xml:space="preserve"> 8, no. 10 (2022).</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UNICEF (2022). Ethiopia Humanitarian Situation Report  No. 3, including Northern Ethiopia and Drought responses, accessed on 2 May 2022</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Ethiopian Public Health Institute, Ministry of Health, and UNICEF (2023). National food and nutrition strategy baseline survey. Key findings preliminary report.</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Shifera, N, Aschalew E, Degfachew D, et al. Acute malnutrition and its contributing factors among children under five years in rural kebeles of Shashemene Oromia, Ethiopia. </w:t>
      </w:r>
      <w:r w:rsidRPr="00454A2C">
        <w:rPr>
          <w:rFonts w:ascii="AdvPS5962" w:hAnsi="AdvPS5962" w:cs="Times New Roman"/>
          <w:i/>
          <w:noProof/>
          <w:color w:val="000000" w:themeColor="text1"/>
        </w:rPr>
        <w:t>Frontiers in Nutrition</w:t>
      </w:r>
      <w:r w:rsidRPr="00454A2C">
        <w:rPr>
          <w:rFonts w:ascii="AdvPS5962" w:hAnsi="AdvPS5962" w:cs="Times New Roman"/>
          <w:noProof/>
          <w:color w:val="000000" w:themeColor="text1"/>
        </w:rPr>
        <w:t xml:space="preserve"> 9 (2022): 1053928.</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Mihret, S, Tarekegn, GB,  Nurye, A. N. Prevalence of Acute Malnutrition and Associated Factors among Children aged 6–59 months in South Wollo Zone, East Amhara, Northeast Ethiopia: a Community-based cross-sectional study. </w:t>
      </w:r>
      <w:r w:rsidRPr="00454A2C">
        <w:rPr>
          <w:rFonts w:ascii="AdvPS5962" w:hAnsi="AdvPS5962" w:cs="Times New Roman"/>
          <w:i/>
          <w:noProof/>
          <w:color w:val="000000" w:themeColor="text1"/>
        </w:rPr>
        <w:t>BMJ Open</w:t>
      </w:r>
      <w:r w:rsidRPr="00454A2C">
        <w:rPr>
          <w:rFonts w:ascii="AdvPS5962" w:hAnsi="AdvPS5962" w:cs="Times New Roman"/>
          <w:noProof/>
          <w:color w:val="000000" w:themeColor="text1"/>
        </w:rPr>
        <w:t>. 13, no. 10 (2023): e062582.</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Dafursa K, Gebremedhin S. Dietary Diversity among Children Aged 6-23 Months in Aleta Wondo District, Southern Ethiopia. </w:t>
      </w:r>
      <w:r w:rsidRPr="00454A2C">
        <w:rPr>
          <w:rFonts w:ascii="AdvPS5962" w:hAnsi="AdvPS5962" w:cs="Times New Roman"/>
          <w:i/>
          <w:noProof/>
          <w:color w:val="000000" w:themeColor="text1"/>
        </w:rPr>
        <w:t>J Nutr Metab</w:t>
      </w:r>
      <w:r w:rsidRPr="00454A2C">
        <w:rPr>
          <w:rFonts w:ascii="AdvPS5962" w:hAnsi="AdvPS5962" w:cs="Times New Roman"/>
          <w:noProof/>
          <w:color w:val="000000" w:themeColor="text1"/>
        </w:rPr>
        <w:t xml:space="preserve">. 2019;2019:10.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Federal Government of Ethiopia, Ministry of Health EPHI (2022). Ethiopia: Food-Based Dietary Guidelines–2022. Vol. 1, Federal Government of Ethiopia, Ministry of Health, </w:t>
      </w:r>
      <w:r w:rsidRPr="00454A2C">
        <w:rPr>
          <w:rFonts w:ascii="AdvPS5962" w:hAnsi="AdvPS5962" w:cs="Times New Roman"/>
          <w:i/>
          <w:noProof/>
          <w:color w:val="000000" w:themeColor="text1"/>
        </w:rPr>
        <w:t>Ethiopian Public Health Institute</w:t>
      </w:r>
      <w:r w:rsidRPr="00454A2C">
        <w:rPr>
          <w:rFonts w:ascii="AdvPS5962" w:hAnsi="AdvPS5962" w:cs="Times New Roman"/>
          <w:noProof/>
          <w:color w:val="000000" w:themeColor="text1"/>
        </w:rPr>
        <w:t xml:space="preserve">. 2022. 108 p.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Woldeyohannes M, Girma M, Petros A, Hussen A, Samuel A, Dinssa DA, Challa F, Laillou A, Chitekwe S, Baye K, Noor R. Ethiopia national </w:t>
      </w:r>
      <w:r w:rsidRPr="00454A2C">
        <w:rPr>
          <w:rFonts w:ascii="AdvPS5962" w:hAnsi="AdvPS5962" w:cs="Times New Roman"/>
          <w:noProof/>
          <w:color w:val="000000" w:themeColor="text1"/>
        </w:rPr>
        <w:lastRenderedPageBreak/>
        <w:t xml:space="preserve">food and nutrition survey to inform the Ethiopian national food and nutrition strategy: a study protocol. </w:t>
      </w:r>
      <w:r w:rsidRPr="00454A2C">
        <w:rPr>
          <w:rFonts w:ascii="AdvPS5962" w:hAnsi="AdvPS5962" w:cs="Times New Roman"/>
          <w:i/>
          <w:noProof/>
          <w:color w:val="000000" w:themeColor="text1"/>
        </w:rPr>
        <w:t>BMJ open</w:t>
      </w:r>
      <w:r w:rsidRPr="00454A2C">
        <w:rPr>
          <w:rFonts w:ascii="AdvPS5962" w:hAnsi="AdvPS5962" w:cs="Times New Roman"/>
          <w:noProof/>
          <w:color w:val="000000" w:themeColor="text1"/>
        </w:rPr>
        <w:t>. 2023 Apr 1;13(4):e067641.</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Galhena DH, Freed R, Maredia KM. Home gardens: a promising approach to enhance household food security and wellbeing. </w:t>
      </w:r>
      <w:r w:rsidRPr="00454A2C">
        <w:rPr>
          <w:rFonts w:ascii="AdvPS5962" w:hAnsi="AdvPS5962" w:cs="Times New Roman"/>
          <w:i/>
          <w:noProof/>
          <w:color w:val="000000" w:themeColor="text1"/>
        </w:rPr>
        <w:t>Agriculture and Food Security</w:t>
      </w:r>
      <w:r w:rsidRPr="00454A2C">
        <w:rPr>
          <w:rFonts w:ascii="AdvPS5962" w:hAnsi="AdvPS5962" w:cs="Times New Roman"/>
          <w:noProof/>
          <w:color w:val="000000" w:themeColor="text1"/>
        </w:rPr>
        <w:t xml:space="preserve">. 2013;2(8):1–13.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color w:val="000000" w:themeColor="text1"/>
          <w:shd w:val="clear" w:color="auto" w:fill="FFFFFF"/>
        </w:rPr>
        <w:t>Central Statistical Agency. 2007 population and housing census of Ethiopia: Results for Oromia Region, Vol. 1 Archived November 13, 2011 (accessed 13 January 2012).</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Ginir district, East Bale zone of Oromia, Ethiopia, </w:t>
      </w:r>
      <w:r w:rsidRPr="00454A2C">
        <w:rPr>
          <w:rFonts w:ascii="AdvPS5962" w:hAnsi="AdvPS5962" w:cs="Times New Roman"/>
          <w:i/>
          <w:noProof/>
          <w:color w:val="000000" w:themeColor="text1"/>
        </w:rPr>
        <w:t>Agricultural office</w:t>
      </w:r>
      <w:r w:rsidRPr="00454A2C">
        <w:rPr>
          <w:rFonts w:ascii="AdvPS5962" w:hAnsi="AdvPS5962" w:cs="Times New Roman"/>
          <w:noProof/>
          <w:color w:val="000000" w:themeColor="text1"/>
        </w:rPr>
        <w:t>, 2024.</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World Health Organization and the United Nations Children’s Fund (UNICEF), 2021.</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Sek L, Barrion AAS, Juanico CB, et al. Dietary diversity and nutritional status of 2 to 5-year-old children in households with and without home gardens in selected districts in Siem Reap province, Cambodia. </w:t>
      </w:r>
      <w:r w:rsidRPr="00454A2C">
        <w:rPr>
          <w:rFonts w:ascii="AdvPS5962" w:hAnsi="AdvPS5962" w:cs="Times New Roman"/>
          <w:i/>
          <w:noProof/>
          <w:color w:val="000000" w:themeColor="text1"/>
        </w:rPr>
        <w:t>Malays J Nutr</w:t>
      </w:r>
      <w:r w:rsidRPr="00454A2C">
        <w:rPr>
          <w:rFonts w:ascii="AdvPS5962" w:hAnsi="AdvPS5962" w:cs="Times New Roman"/>
          <w:noProof/>
          <w:color w:val="000000" w:themeColor="text1"/>
        </w:rPr>
        <w:t>. 2021;27(2):209–19.</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Du Toit MJ, Rendón O, Cologna V, Cilliers SS, Dallimer M. Why home gardens fail in enhancing food security and dietary diversity. </w:t>
      </w:r>
      <w:r w:rsidRPr="00454A2C">
        <w:rPr>
          <w:rFonts w:ascii="AdvPS5962" w:hAnsi="AdvPS5962" w:cs="Times New Roman"/>
          <w:i/>
          <w:noProof/>
          <w:color w:val="000000" w:themeColor="text1"/>
        </w:rPr>
        <w:t>Frontiers in Ecology and Evolution</w:t>
      </w:r>
      <w:r w:rsidRPr="00454A2C">
        <w:rPr>
          <w:rFonts w:ascii="AdvPS5962" w:hAnsi="AdvPS5962" w:cs="Times New Roman"/>
          <w:noProof/>
          <w:color w:val="000000" w:themeColor="text1"/>
        </w:rPr>
        <w:t>. 2022 Feb 11;10:804523.</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Galhena DH, Freed R, Maredia KM. Home gardens: a promising approach to enhance household food security and wellbeing. Agriculture and Food Security. 2013;2(8):1–13.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Solomon D, Aderaw Z, Tegegne TK. Minimum dietary diversity and associated factors among children aged 6-23 months in Addis Ababa, Ethiopia. </w:t>
      </w:r>
      <w:r w:rsidRPr="00454A2C">
        <w:rPr>
          <w:rFonts w:ascii="AdvPS5962" w:hAnsi="AdvPS5962" w:cs="Times New Roman"/>
          <w:i/>
          <w:noProof/>
          <w:color w:val="000000" w:themeColor="text1"/>
        </w:rPr>
        <w:t>Int J Equity Health</w:t>
      </w:r>
      <w:r w:rsidRPr="00454A2C">
        <w:rPr>
          <w:rFonts w:ascii="AdvPS5962" w:hAnsi="AdvPS5962" w:cs="Times New Roman"/>
          <w:noProof/>
          <w:color w:val="000000" w:themeColor="text1"/>
        </w:rPr>
        <w:t xml:space="preserve">. 2017;16(181):1–9. </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Tegegne M, Sileshi S, Benti T, Teshome M, Woldie H. Factors associated with minimal meal frequency and dietary diversity practices among infants and young children in the predominantly agrarian society of Bale zone, Southeast Ethiopia: a community based cross sectional study. </w:t>
      </w:r>
      <w:r w:rsidRPr="00454A2C">
        <w:rPr>
          <w:rFonts w:ascii="AdvPS5962" w:hAnsi="AdvPS5962" w:cs="Times New Roman"/>
          <w:i/>
          <w:noProof/>
          <w:color w:val="000000" w:themeColor="text1"/>
        </w:rPr>
        <w:t>Archives of Public Health</w:t>
      </w:r>
      <w:r w:rsidRPr="00454A2C">
        <w:rPr>
          <w:rFonts w:ascii="AdvPS5962" w:hAnsi="AdvPS5962" w:cs="Times New Roman"/>
          <w:noProof/>
          <w:color w:val="000000" w:themeColor="text1"/>
        </w:rPr>
        <w:t>. 2017 Nov 13;75(1):53.</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Amadu I, Seidu AA, Duku E, Okyere J, Hagan Jr JE, Hormenu T, Ahinkorah BO. The joint effect of maternal marital status and type of household cooking fuel on child nutritional status in sub-Saharan Africa: analysis of cross-sectional surveys on children from 31 countries. </w:t>
      </w:r>
      <w:r w:rsidRPr="00454A2C">
        <w:rPr>
          <w:rFonts w:ascii="AdvPS5962" w:hAnsi="AdvPS5962" w:cs="Times New Roman"/>
          <w:i/>
          <w:noProof/>
          <w:color w:val="000000" w:themeColor="text1"/>
        </w:rPr>
        <w:t>Nutrients</w:t>
      </w:r>
      <w:r w:rsidRPr="00454A2C">
        <w:rPr>
          <w:rFonts w:ascii="AdvPS5962" w:hAnsi="AdvPS5962" w:cs="Times New Roman"/>
          <w:noProof/>
          <w:color w:val="000000" w:themeColor="text1"/>
        </w:rPr>
        <w:t>. 2021 May 3;13(5):1541.</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Beyene M, Worku AG, Wassie MM. Dietary diversity, meal frequency, and associated factors among infant and young children in Northwest Ethiopia: A cross-sectional study. </w:t>
      </w:r>
      <w:r w:rsidRPr="00454A2C">
        <w:rPr>
          <w:rFonts w:ascii="AdvPS5962" w:hAnsi="AdvPS5962" w:cs="Times New Roman"/>
          <w:i/>
          <w:noProof/>
          <w:color w:val="000000" w:themeColor="text1"/>
        </w:rPr>
        <w:t>BMC Public Health</w:t>
      </w:r>
      <w:r w:rsidRPr="00454A2C">
        <w:rPr>
          <w:rFonts w:ascii="AdvPS5962" w:hAnsi="AdvPS5962" w:cs="Times New Roman"/>
          <w:noProof/>
          <w:color w:val="000000" w:themeColor="text1"/>
        </w:rPr>
        <w:t>. 2015;15(1007):1–9.</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Mekonnen TC, Workie SB, Yimer TM, et al. Meal frequency and dietary diversity feeding practices among children 6-23 months of age in Wolaita Sodo town, Southern Ethiopia. </w:t>
      </w:r>
      <w:r w:rsidRPr="00454A2C">
        <w:rPr>
          <w:rFonts w:ascii="AdvPS5962" w:hAnsi="AdvPS5962" w:cs="Times New Roman"/>
          <w:i/>
          <w:noProof/>
          <w:color w:val="000000" w:themeColor="text1"/>
        </w:rPr>
        <w:t>J Health Popul Nutr</w:t>
      </w:r>
      <w:r w:rsidRPr="00454A2C">
        <w:rPr>
          <w:rFonts w:ascii="AdvPS5962" w:hAnsi="AdvPS5962" w:cs="Times New Roman"/>
          <w:noProof/>
          <w:color w:val="000000" w:themeColor="text1"/>
        </w:rPr>
        <w:t>. 2017;36(1):18.</w:t>
      </w:r>
    </w:p>
    <w:p w:rsidR="00454A2C" w:rsidRPr="00454A2C" w:rsidRDefault="00454A2C" w:rsidP="00454A2C">
      <w:pPr>
        <w:pStyle w:val="ListParagraph"/>
        <w:widowControl w:val="0"/>
        <w:numPr>
          <w:ilvl w:val="0"/>
          <w:numId w:val="39"/>
        </w:numPr>
        <w:suppressAutoHyphens/>
        <w:autoSpaceDE w:val="0"/>
        <w:autoSpaceDN w:val="0"/>
        <w:adjustRightInd w:val="0"/>
        <w:spacing w:line="360" w:lineRule="auto"/>
        <w:jc w:val="both"/>
        <w:rPr>
          <w:rFonts w:ascii="AdvPS5962" w:hAnsi="AdvPS5962" w:cs="Times New Roman"/>
          <w:noProof/>
          <w:color w:val="000000" w:themeColor="text1"/>
        </w:rPr>
      </w:pPr>
      <w:r w:rsidRPr="00454A2C">
        <w:rPr>
          <w:rFonts w:ascii="AdvPS5962" w:hAnsi="AdvPS5962" w:cs="Times New Roman"/>
          <w:noProof/>
          <w:color w:val="000000" w:themeColor="text1"/>
        </w:rPr>
        <w:t xml:space="preserve">Sema A, Belay Y, Solomon Y, Desalew A, Misganaw A, Menberu T, Sintayehu Y, Getachew Y, Guta A, Tadesse D. Minimum </w:t>
      </w:r>
      <w:r w:rsidRPr="00454A2C">
        <w:rPr>
          <w:rFonts w:ascii="AdvPS5962" w:hAnsi="AdvPS5962" w:cs="Times New Roman"/>
          <w:noProof/>
          <w:color w:val="000000" w:themeColor="text1"/>
        </w:rPr>
        <w:lastRenderedPageBreak/>
        <w:t xml:space="preserve">dietary diversity practice and associated factors among children aged 6 to 23 months in Dire Dawa City, Eastern Ethiopia: a </w:t>
      </w:r>
      <w:r w:rsidRPr="00454A2C">
        <w:rPr>
          <w:rFonts w:ascii="AdvPS5962" w:hAnsi="AdvPS5962" w:cs="Times New Roman"/>
          <w:noProof/>
          <w:color w:val="000000" w:themeColor="text1"/>
        </w:rPr>
        <w:t xml:space="preserve">community-based cross-sectional study. </w:t>
      </w:r>
      <w:r w:rsidRPr="00454A2C">
        <w:rPr>
          <w:rFonts w:ascii="AdvPS5962" w:hAnsi="AdvPS5962" w:cs="Times New Roman"/>
          <w:i/>
          <w:noProof/>
          <w:color w:val="000000" w:themeColor="text1"/>
        </w:rPr>
        <w:t>Global pediatric health</w:t>
      </w:r>
      <w:r w:rsidRPr="00454A2C">
        <w:rPr>
          <w:rFonts w:ascii="AdvPS5962" w:hAnsi="AdvPS5962" w:cs="Times New Roman"/>
          <w:noProof/>
          <w:color w:val="000000" w:themeColor="text1"/>
        </w:rPr>
        <w:t>. 2021 Feb;8:2333794X21996630.</w:t>
      </w:r>
    </w:p>
    <w:p w:rsidR="00454A2C" w:rsidRPr="002306C8" w:rsidRDefault="00454A2C" w:rsidP="002306C8">
      <w:pPr>
        <w:pStyle w:val="NoSpacing"/>
        <w:rPr>
          <w:rFonts w:ascii="AdvPS5962" w:hAnsi="AdvPS5962" w:cs="Times New Roman"/>
          <w:color w:val="000000" w:themeColor="text1"/>
        </w:rPr>
        <w:sectPr w:rsidR="00454A2C" w:rsidRPr="002306C8" w:rsidSect="00454A2C">
          <w:type w:val="continuous"/>
          <w:pgSz w:w="12240" w:h="15840"/>
          <w:pgMar w:top="1276" w:right="1183" w:bottom="1440" w:left="1440" w:header="720" w:footer="720" w:gutter="0"/>
          <w:cols w:num="2" w:space="332"/>
          <w:docGrid w:linePitch="360"/>
        </w:sectPr>
      </w:pPr>
    </w:p>
    <w:p w:rsidR="00F64ADE" w:rsidRPr="00F64ADE" w:rsidRDefault="00F64ADE" w:rsidP="00F64ADE">
      <w:pPr>
        <w:spacing w:before="120" w:after="120" w:line="360" w:lineRule="auto"/>
        <w:jc w:val="both"/>
        <w:rPr>
          <w:rFonts w:ascii="AdvPS5962" w:eastAsia="Times New Roman" w:hAnsi="AdvPS5962" w:cs="Times New Roman"/>
          <w:color w:val="000000" w:themeColor="text1"/>
          <w:szCs w:val="24"/>
        </w:rPr>
      </w:pPr>
    </w:p>
    <w:bookmarkEnd w:id="12"/>
    <w:bookmarkEnd w:id="13"/>
    <w:bookmarkEnd w:id="16"/>
    <w:bookmarkEnd w:id="17"/>
    <w:bookmarkEnd w:id="18"/>
    <w:bookmarkEnd w:id="19"/>
    <w:bookmarkEnd w:id="20"/>
    <w:bookmarkEnd w:id="21"/>
    <w:p w:rsidR="00F64ADE" w:rsidRPr="00F64ADE" w:rsidRDefault="00F64ADE" w:rsidP="00224830">
      <w:pPr>
        <w:spacing w:before="120" w:after="120" w:line="240" w:lineRule="auto"/>
        <w:jc w:val="both"/>
        <w:rPr>
          <w:rFonts w:ascii="AdvPS5962" w:hAnsi="AdvPS5962" w:cs="Times New Roman"/>
          <w:b/>
        </w:rPr>
      </w:pPr>
    </w:p>
    <w:sectPr w:rsidR="00F64ADE" w:rsidRPr="00F64ADE" w:rsidSect="00F64ADE">
      <w:type w:val="continuous"/>
      <w:pgSz w:w="12240" w:h="15840"/>
      <w:pgMar w:top="1276" w:right="1183" w:bottom="1440" w:left="1440" w:header="720" w:footer="720"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656" w:rsidRDefault="00C76656" w:rsidP="00C54B33">
      <w:pPr>
        <w:spacing w:after="0" w:line="240" w:lineRule="auto"/>
      </w:pPr>
      <w:r>
        <w:separator/>
      </w:r>
    </w:p>
  </w:endnote>
  <w:endnote w:type="continuationSeparator" w:id="0">
    <w:p w:rsidR="00C76656" w:rsidRDefault="00C76656" w:rsidP="00C5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PS5962">
    <w:altName w:val="Cambria"/>
    <w:panose1 w:val="00000000000000000000"/>
    <w:charset w:val="00"/>
    <w:family w:val="roman"/>
    <w:notTrueType/>
    <w:pitch w:val="default"/>
    <w:sig w:usb0="00000003" w:usb1="00000000" w:usb2="00000000" w:usb3="00000000" w:csb0="00000001" w:csb1="00000000"/>
  </w:font>
  <w:font w:name="Sabon Next LT">
    <w:charset w:val="00"/>
    <w:family w:val="auto"/>
    <w:pitch w:val="variable"/>
    <w:sig w:usb0="A11526FF" w:usb1="D000000B"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DejaVu Sans">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dvPS5962" w:hAnsi="AdvPS5962"/>
        <w:sz w:val="20"/>
        <w:szCs w:val="20"/>
      </w:rPr>
      <w:id w:val="-1338296211"/>
      <w:docPartObj>
        <w:docPartGallery w:val="Page Numbers (Bottom of Page)"/>
        <w:docPartUnique/>
      </w:docPartObj>
    </w:sdtPr>
    <w:sdtEndPr>
      <w:rPr>
        <w:rFonts w:cs="Sabon Next LT"/>
        <w:noProof/>
      </w:rPr>
    </w:sdtEndPr>
    <w:sdtContent>
      <w:p w:rsidR="002F1794" w:rsidRPr="00F47341" w:rsidRDefault="002F1794" w:rsidP="0027423A">
        <w:pPr>
          <w:pStyle w:val="Footer"/>
          <w:pBdr>
            <w:bottom w:val="single" w:sz="12" w:space="1" w:color="auto"/>
          </w:pBdr>
          <w:rPr>
            <w:rFonts w:ascii="AdvPS5962" w:hAnsi="AdvPS5962"/>
            <w:sz w:val="20"/>
            <w:szCs w:val="20"/>
          </w:rPr>
        </w:pPr>
      </w:p>
      <w:p w:rsidR="002F1794" w:rsidRPr="00F47341" w:rsidRDefault="002F1794" w:rsidP="001F647B">
        <w:pPr>
          <w:rPr>
            <w:rFonts w:ascii="AdvPS5962" w:hAnsi="AdvPS5962" w:cs="Sabon Next LT"/>
            <w:sz w:val="20"/>
            <w:szCs w:val="20"/>
          </w:rPr>
        </w:pPr>
        <w:r w:rsidRPr="00F47341">
          <w:rPr>
            <w:rFonts w:ascii="AdvPS5962" w:hAnsi="AdvPS5962" w:cs="Sabon Next LT"/>
            <w:i/>
            <w:color w:val="0070C0"/>
            <w:sz w:val="20"/>
            <w:szCs w:val="20"/>
          </w:rPr>
          <w:t xml:space="preserve">Website: </w:t>
        </w:r>
        <w:hyperlink r:id="rId1" w:history="1">
          <w:r w:rsidRPr="00F47341">
            <w:rPr>
              <w:rStyle w:val="Hyperlink"/>
              <w:rFonts w:ascii="AdvPS5962" w:hAnsi="AdvPS5962" w:cs="Sabon Next LT"/>
              <w:i/>
              <w:sz w:val="20"/>
              <w:szCs w:val="20"/>
            </w:rPr>
            <w:t>https://hajhbs.sluchs.edu.et</w:t>
          </w:r>
        </w:hyperlink>
        <w:r w:rsidRPr="00F47341">
          <w:rPr>
            <w:rFonts w:ascii="AdvPS5962" w:hAnsi="AdvPS5962" w:cs="Sabon Next LT"/>
            <w:i/>
            <w:color w:val="0070C0"/>
            <w:sz w:val="20"/>
            <w:szCs w:val="20"/>
          </w:rPr>
          <w:t xml:space="preserve"> </w:t>
        </w:r>
        <w:r w:rsidRPr="000F4295">
          <w:rPr>
            <w:rFonts w:ascii="AdvPS5962" w:hAnsi="AdvPS5962" w:cs="Sabon Next LT"/>
            <w:i/>
            <w:color w:val="0070C0"/>
            <w:sz w:val="20"/>
            <w:szCs w:val="20"/>
          </w:rPr>
          <w:t>August 2026</w:t>
        </w:r>
        <w:r w:rsidRPr="00F47341">
          <w:rPr>
            <w:rFonts w:ascii="AdvPS5962" w:hAnsi="AdvPS5962" w:cs="Sabon Next LT"/>
            <w:i/>
            <w:color w:val="0070C0"/>
            <w:sz w:val="20"/>
            <w:szCs w:val="20"/>
          </w:rPr>
          <w:tab/>
          <w:t xml:space="preserve">Vol. 2 Issue 1 </w:t>
        </w:r>
        <w:r w:rsidRPr="00F47341">
          <w:rPr>
            <w:rFonts w:ascii="AdvPS5962" w:hAnsi="AdvPS5962" w:cs="Sabon Next LT"/>
            <w:i/>
            <w:color w:val="0070C0"/>
            <w:sz w:val="20"/>
            <w:szCs w:val="20"/>
          </w:rPr>
          <w:tab/>
        </w:r>
        <w:r>
          <w:rPr>
            <w:rFonts w:ascii="AdvPS5962" w:hAnsi="AdvPS5962" w:cs="Sabon Next LT"/>
            <w:i/>
            <w:color w:val="0070C0"/>
            <w:sz w:val="20"/>
            <w:szCs w:val="20"/>
          </w:rPr>
          <w:t xml:space="preserve">        </w:t>
        </w:r>
        <w:r w:rsidRPr="00F47341">
          <w:rPr>
            <w:rFonts w:ascii="AdvPS5962" w:hAnsi="AdvPS5962" w:cs="Sabon Next LT"/>
            <w:i/>
            <w:color w:val="0070C0"/>
            <w:sz w:val="20"/>
            <w:szCs w:val="20"/>
          </w:rPr>
          <w:tab/>
        </w:r>
        <w:r w:rsidRPr="00F47341">
          <w:rPr>
            <w:rFonts w:ascii="AdvPS5962" w:hAnsi="AdvPS5962" w:cs="Sabon Next LT"/>
            <w:i/>
            <w:color w:val="0070C0"/>
            <w:sz w:val="20"/>
            <w:szCs w:val="20"/>
          </w:rPr>
          <w:tab/>
        </w:r>
        <w:r>
          <w:rPr>
            <w:rFonts w:ascii="AdvPS5962" w:hAnsi="AdvPS5962" w:cs="Sabon Next LT"/>
            <w:i/>
            <w:color w:val="0070C0"/>
            <w:sz w:val="20"/>
            <w:szCs w:val="20"/>
          </w:rPr>
          <w:t xml:space="preserve">                                     </w:t>
        </w:r>
        <w:r w:rsidR="006471A2">
          <w:rPr>
            <w:rFonts w:ascii="AdvPS5962" w:hAnsi="AdvPS5962" w:cs="Sabon Next LT"/>
            <w:i/>
            <w:color w:val="0070C0"/>
            <w:sz w:val="20"/>
            <w:szCs w:val="20"/>
          </w:rPr>
          <w:t xml:space="preserve">      </w:t>
        </w:r>
        <w:r>
          <w:rPr>
            <w:rFonts w:ascii="AdvPS5962" w:hAnsi="AdvPS5962" w:cs="Sabon Next LT"/>
            <w:i/>
            <w:color w:val="0070C0"/>
            <w:sz w:val="20"/>
            <w:szCs w:val="20"/>
          </w:rPr>
          <w:t xml:space="preserve">      </w:t>
        </w:r>
        <w:r w:rsidRPr="00F47341">
          <w:rPr>
            <w:rFonts w:ascii="AdvPS5962" w:hAnsi="AdvPS5962" w:cs="Sabon Next LT"/>
            <w:sz w:val="20"/>
            <w:szCs w:val="20"/>
          </w:rPr>
          <w:fldChar w:fldCharType="begin"/>
        </w:r>
        <w:r w:rsidRPr="00F47341">
          <w:rPr>
            <w:rFonts w:ascii="AdvPS5962" w:hAnsi="AdvPS5962" w:cs="Sabon Next LT"/>
            <w:sz w:val="20"/>
            <w:szCs w:val="20"/>
          </w:rPr>
          <w:instrText xml:space="preserve"> PAGE   \* MERGEFORMAT </w:instrText>
        </w:r>
        <w:r w:rsidRPr="00F47341">
          <w:rPr>
            <w:rFonts w:ascii="AdvPS5962" w:hAnsi="AdvPS5962" w:cs="Sabon Next LT"/>
            <w:sz w:val="20"/>
            <w:szCs w:val="20"/>
          </w:rPr>
          <w:fldChar w:fldCharType="separate"/>
        </w:r>
        <w:r w:rsidR="0053734E">
          <w:rPr>
            <w:rFonts w:ascii="AdvPS5962" w:hAnsi="AdvPS5962" w:cs="Sabon Next LT"/>
            <w:noProof/>
            <w:sz w:val="20"/>
            <w:szCs w:val="20"/>
          </w:rPr>
          <w:t>57</w:t>
        </w:r>
        <w:r w:rsidRPr="00F47341">
          <w:rPr>
            <w:rFonts w:ascii="AdvPS5962" w:hAnsi="AdvPS5962" w:cs="Sabon Next LT"/>
            <w:noProof/>
            <w:sz w:val="20"/>
            <w:szCs w:val="20"/>
          </w:rPr>
          <w:fldChar w:fldCharType="end"/>
        </w:r>
      </w:p>
    </w:sdtContent>
  </w:sdt>
  <w:p w:rsidR="002F1794" w:rsidRDefault="002F1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656" w:rsidRDefault="00C76656" w:rsidP="00C54B33">
      <w:pPr>
        <w:spacing w:after="0" w:line="240" w:lineRule="auto"/>
      </w:pPr>
      <w:r>
        <w:separator/>
      </w:r>
    </w:p>
  </w:footnote>
  <w:footnote w:type="continuationSeparator" w:id="0">
    <w:p w:rsidR="00C76656" w:rsidRDefault="00C76656" w:rsidP="00C5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794" w:rsidRPr="00242E53" w:rsidRDefault="002F1794">
    <w:pPr>
      <w:pStyle w:val="Header"/>
      <w:pBdr>
        <w:bottom w:val="single" w:sz="12" w:space="1" w:color="auto"/>
      </w:pBdr>
      <w:rPr>
        <w:rFonts w:ascii="AdvPS5962" w:hAnsi="AdvPS5962" w:cs="Sabon Next LT"/>
        <w:color w:val="0070C0"/>
      </w:rPr>
    </w:pPr>
    <w:r w:rsidRPr="00242E53">
      <w:rPr>
        <w:rFonts w:ascii="AdvPS5962" w:hAnsi="AdvPS5962"/>
      </w:rPr>
      <w:softHyphen/>
    </w:r>
    <w:r w:rsidRPr="00242E53">
      <w:rPr>
        <w:rFonts w:ascii="AdvPS5962" w:hAnsi="AdvPS5962"/>
      </w:rPr>
      <w:softHyphen/>
    </w:r>
    <w:r w:rsidRPr="00242E53">
      <w:rPr>
        <w:rFonts w:ascii="AdvPS5962" w:hAnsi="AdvPS5962"/>
      </w:rPr>
      <w:softHyphen/>
    </w:r>
    <w:r w:rsidRPr="00242E53">
      <w:rPr>
        <w:rFonts w:ascii="AdvPS5962" w:hAnsi="AdvPS5962"/>
      </w:rPr>
      <w:softHyphen/>
    </w:r>
    <w:r w:rsidRPr="00242E53">
      <w:rPr>
        <w:rFonts w:ascii="AdvPS5962" w:hAnsi="AdvPS5962" w:cs="Sabon Next LT"/>
        <w:color w:val="0070C0"/>
      </w:rPr>
      <w:t>Open access</w:t>
    </w:r>
    <w:r w:rsidRPr="00242E53">
      <w:rPr>
        <w:rFonts w:ascii="AdvPS5962" w:hAnsi="AdvPS5962" w:cs="Sabon Next LT"/>
        <w:color w:val="0070C0"/>
      </w:rPr>
      <w:tab/>
    </w:r>
    <w:r w:rsidRPr="00E94B0E">
      <w:rPr>
        <w:rFonts w:ascii="AdvPS5962" w:hAnsi="AdvPS5962" w:cs="Sabon Next LT"/>
        <w:color w:val="0070C0"/>
      </w:rPr>
      <w:t>Horn Afr. j. health biomed. sci</w:t>
    </w:r>
    <w:r w:rsidRPr="00242E53">
      <w:rPr>
        <w:rFonts w:ascii="AdvPS5962" w:hAnsi="AdvPS5962" w:cs="Sabon Next LT"/>
        <w:color w:val="0070C0"/>
      </w:rPr>
      <w:t>. 2024, 2(1)</w:t>
    </w:r>
    <w:r w:rsidRPr="00AD7212">
      <w:rPr>
        <w:rFonts w:ascii="AdvPS5962" w:hAnsi="AdvPS5962" w:cs="Sabon Next LT"/>
        <w:color w:val="0070C0"/>
      </w:rPr>
      <w:t>: 53–70</w:t>
    </w:r>
    <w:r w:rsidRPr="00242E53">
      <w:rPr>
        <w:rFonts w:ascii="AdvPS5962" w:hAnsi="AdvPS5962" w:cs="Sabon Next LT"/>
        <w:color w:val="0070C0"/>
      </w:rPr>
      <w:tab/>
      <w:t>Original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21E"/>
      </v:shape>
    </w:pict>
  </w:numPicBullet>
  <w:abstractNum w:abstractNumId="0" w15:restartNumberingAfterBreak="0">
    <w:nsid w:val="FF509D73"/>
    <w:multiLevelType w:val="singleLevel"/>
    <w:tmpl w:val="04090009"/>
    <w:lvl w:ilvl="0">
      <w:start w:val="1"/>
      <w:numFmt w:val="bullet"/>
      <w:lvlText w:val=""/>
      <w:lvlJc w:val="left"/>
      <w:pPr>
        <w:ind w:left="360" w:hanging="360"/>
      </w:pPr>
      <w:rPr>
        <w:rFonts w:ascii="Wingdings" w:hAnsi="Wingdings" w:hint="default"/>
      </w:rPr>
    </w:lvl>
  </w:abstractNum>
  <w:abstractNum w:abstractNumId="1" w15:restartNumberingAfterBreak="0">
    <w:nsid w:val="01C514AA"/>
    <w:multiLevelType w:val="hybridMultilevel"/>
    <w:tmpl w:val="C73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2224"/>
    <w:multiLevelType w:val="hybridMultilevel"/>
    <w:tmpl w:val="E2F6AD0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26800A7"/>
    <w:multiLevelType w:val="hybridMultilevel"/>
    <w:tmpl w:val="59DE18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95DD9"/>
    <w:multiLevelType w:val="multilevel"/>
    <w:tmpl w:val="02E95D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3C046A"/>
    <w:multiLevelType w:val="hybridMultilevel"/>
    <w:tmpl w:val="18CC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D2B9F"/>
    <w:multiLevelType w:val="hybridMultilevel"/>
    <w:tmpl w:val="64D47A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215F"/>
    <w:multiLevelType w:val="hybridMultilevel"/>
    <w:tmpl w:val="58E83B82"/>
    <w:lvl w:ilvl="0" w:tplc="04090001">
      <w:start w:val="1"/>
      <w:numFmt w:val="bullet"/>
      <w:lvlText w:val=""/>
      <w:lvlJc w:val="left"/>
      <w:pPr>
        <w:ind w:left="720" w:hanging="360"/>
      </w:pPr>
      <w:rPr>
        <w:rFonts w:ascii="Symbol" w:hAnsi="Symbol" w:hint="default"/>
      </w:rPr>
    </w:lvl>
    <w:lvl w:ilvl="1" w:tplc="6804C2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A6D0A"/>
    <w:multiLevelType w:val="multilevel"/>
    <w:tmpl w:val="163A6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CE5C24"/>
    <w:multiLevelType w:val="hybridMultilevel"/>
    <w:tmpl w:val="EB385DB2"/>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10" w15:restartNumberingAfterBreak="0">
    <w:nsid w:val="1D8A773D"/>
    <w:multiLevelType w:val="hybridMultilevel"/>
    <w:tmpl w:val="BC2A44C6"/>
    <w:lvl w:ilvl="0" w:tplc="BDC8332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51C61"/>
    <w:multiLevelType w:val="multilevel"/>
    <w:tmpl w:val="20951C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9F6752"/>
    <w:multiLevelType w:val="hybridMultilevel"/>
    <w:tmpl w:val="1CD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E155E"/>
    <w:multiLevelType w:val="hybridMultilevel"/>
    <w:tmpl w:val="DA36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51066"/>
    <w:multiLevelType w:val="hybridMultilevel"/>
    <w:tmpl w:val="09F8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754E3"/>
    <w:multiLevelType w:val="hybridMultilevel"/>
    <w:tmpl w:val="B8E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86ABE"/>
    <w:multiLevelType w:val="hybridMultilevel"/>
    <w:tmpl w:val="B8D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3045E"/>
    <w:multiLevelType w:val="hybridMultilevel"/>
    <w:tmpl w:val="8DFC8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F410C"/>
    <w:multiLevelType w:val="hybridMultilevel"/>
    <w:tmpl w:val="336AE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C5FFE"/>
    <w:multiLevelType w:val="hybridMultilevel"/>
    <w:tmpl w:val="A9D4C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A70C8"/>
    <w:multiLevelType w:val="multilevel"/>
    <w:tmpl w:val="462A70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6260F7"/>
    <w:multiLevelType w:val="hybridMultilevel"/>
    <w:tmpl w:val="638ECE94"/>
    <w:lvl w:ilvl="0" w:tplc="846A805A">
      <w:start w:val="1"/>
      <w:numFmt w:val="bullet"/>
      <w:lvlText w:val=""/>
      <w:lvlJc w:val="left"/>
      <w:pPr>
        <w:tabs>
          <w:tab w:val="num" w:pos="720"/>
        </w:tabs>
        <w:ind w:left="720" w:hanging="360"/>
      </w:pPr>
      <w:rPr>
        <w:rFonts w:ascii="Wingdings 2" w:hAnsi="Wingdings 2" w:hint="default"/>
      </w:rPr>
    </w:lvl>
    <w:lvl w:ilvl="1" w:tplc="5DE6A856" w:tentative="1">
      <w:start w:val="1"/>
      <w:numFmt w:val="bullet"/>
      <w:lvlText w:val=""/>
      <w:lvlJc w:val="left"/>
      <w:pPr>
        <w:tabs>
          <w:tab w:val="num" w:pos="1440"/>
        </w:tabs>
        <w:ind w:left="1440" w:hanging="360"/>
      </w:pPr>
      <w:rPr>
        <w:rFonts w:ascii="Wingdings 2" w:hAnsi="Wingdings 2" w:hint="default"/>
      </w:rPr>
    </w:lvl>
    <w:lvl w:ilvl="2" w:tplc="689EE75A" w:tentative="1">
      <w:start w:val="1"/>
      <w:numFmt w:val="bullet"/>
      <w:lvlText w:val=""/>
      <w:lvlJc w:val="left"/>
      <w:pPr>
        <w:tabs>
          <w:tab w:val="num" w:pos="2160"/>
        </w:tabs>
        <w:ind w:left="2160" w:hanging="360"/>
      </w:pPr>
      <w:rPr>
        <w:rFonts w:ascii="Wingdings 2" w:hAnsi="Wingdings 2" w:hint="default"/>
      </w:rPr>
    </w:lvl>
    <w:lvl w:ilvl="3" w:tplc="11BA5822" w:tentative="1">
      <w:start w:val="1"/>
      <w:numFmt w:val="bullet"/>
      <w:lvlText w:val=""/>
      <w:lvlJc w:val="left"/>
      <w:pPr>
        <w:tabs>
          <w:tab w:val="num" w:pos="2880"/>
        </w:tabs>
        <w:ind w:left="2880" w:hanging="360"/>
      </w:pPr>
      <w:rPr>
        <w:rFonts w:ascii="Wingdings 2" w:hAnsi="Wingdings 2" w:hint="default"/>
      </w:rPr>
    </w:lvl>
    <w:lvl w:ilvl="4" w:tplc="ACEE95FA" w:tentative="1">
      <w:start w:val="1"/>
      <w:numFmt w:val="bullet"/>
      <w:lvlText w:val=""/>
      <w:lvlJc w:val="left"/>
      <w:pPr>
        <w:tabs>
          <w:tab w:val="num" w:pos="3600"/>
        </w:tabs>
        <w:ind w:left="3600" w:hanging="360"/>
      </w:pPr>
      <w:rPr>
        <w:rFonts w:ascii="Wingdings 2" w:hAnsi="Wingdings 2" w:hint="default"/>
      </w:rPr>
    </w:lvl>
    <w:lvl w:ilvl="5" w:tplc="0C80DCA4" w:tentative="1">
      <w:start w:val="1"/>
      <w:numFmt w:val="bullet"/>
      <w:lvlText w:val=""/>
      <w:lvlJc w:val="left"/>
      <w:pPr>
        <w:tabs>
          <w:tab w:val="num" w:pos="4320"/>
        </w:tabs>
        <w:ind w:left="4320" w:hanging="360"/>
      </w:pPr>
      <w:rPr>
        <w:rFonts w:ascii="Wingdings 2" w:hAnsi="Wingdings 2" w:hint="default"/>
      </w:rPr>
    </w:lvl>
    <w:lvl w:ilvl="6" w:tplc="F98891EE" w:tentative="1">
      <w:start w:val="1"/>
      <w:numFmt w:val="bullet"/>
      <w:lvlText w:val=""/>
      <w:lvlJc w:val="left"/>
      <w:pPr>
        <w:tabs>
          <w:tab w:val="num" w:pos="5040"/>
        </w:tabs>
        <w:ind w:left="5040" w:hanging="360"/>
      </w:pPr>
      <w:rPr>
        <w:rFonts w:ascii="Wingdings 2" w:hAnsi="Wingdings 2" w:hint="default"/>
      </w:rPr>
    </w:lvl>
    <w:lvl w:ilvl="7" w:tplc="EAEE2C92" w:tentative="1">
      <w:start w:val="1"/>
      <w:numFmt w:val="bullet"/>
      <w:lvlText w:val=""/>
      <w:lvlJc w:val="left"/>
      <w:pPr>
        <w:tabs>
          <w:tab w:val="num" w:pos="5760"/>
        </w:tabs>
        <w:ind w:left="5760" w:hanging="360"/>
      </w:pPr>
      <w:rPr>
        <w:rFonts w:ascii="Wingdings 2" w:hAnsi="Wingdings 2" w:hint="default"/>
      </w:rPr>
    </w:lvl>
    <w:lvl w:ilvl="8" w:tplc="65D62114"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4A2402BE"/>
    <w:multiLevelType w:val="multilevel"/>
    <w:tmpl w:val="EC18D5E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2F5AB7"/>
    <w:multiLevelType w:val="multilevel"/>
    <w:tmpl w:val="502F5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952974"/>
    <w:multiLevelType w:val="hybridMultilevel"/>
    <w:tmpl w:val="04A0B1B2"/>
    <w:lvl w:ilvl="0" w:tplc="6804C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501C3"/>
    <w:multiLevelType w:val="hybridMultilevel"/>
    <w:tmpl w:val="758AA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9592C"/>
    <w:multiLevelType w:val="hybridMultilevel"/>
    <w:tmpl w:val="4A54CED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5C1C6470"/>
    <w:multiLevelType w:val="hybridMultilevel"/>
    <w:tmpl w:val="851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64FB1"/>
    <w:multiLevelType w:val="multilevel"/>
    <w:tmpl w:val="62564F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DE458B"/>
    <w:multiLevelType w:val="multilevel"/>
    <w:tmpl w:val="69DE45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0C77AC"/>
    <w:multiLevelType w:val="hybridMultilevel"/>
    <w:tmpl w:val="BC22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628DC"/>
    <w:multiLevelType w:val="multilevel"/>
    <w:tmpl w:val="8E026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EC121AC"/>
    <w:multiLevelType w:val="hybridMultilevel"/>
    <w:tmpl w:val="419C6328"/>
    <w:lvl w:ilvl="0" w:tplc="8538333E">
      <w:start w:val="1"/>
      <w:numFmt w:val="decimal"/>
      <w:lvlText w:val="%1."/>
      <w:lvlJc w:val="left"/>
      <w:pPr>
        <w:ind w:left="360" w:hanging="360"/>
      </w:pPr>
      <w:rPr>
        <w:color w:val="000000" w:themeColor="text1"/>
      </w:rPr>
    </w:lvl>
    <w:lvl w:ilvl="1" w:tplc="C63C8632" w:tentative="1">
      <w:start w:val="1"/>
      <w:numFmt w:val="lowerLetter"/>
      <w:lvlText w:val="%2."/>
      <w:lvlJc w:val="left"/>
      <w:pPr>
        <w:ind w:left="1080" w:hanging="360"/>
      </w:pPr>
    </w:lvl>
    <w:lvl w:ilvl="2" w:tplc="B6242470" w:tentative="1">
      <w:start w:val="1"/>
      <w:numFmt w:val="lowerRoman"/>
      <w:lvlText w:val="%3."/>
      <w:lvlJc w:val="right"/>
      <w:pPr>
        <w:ind w:left="1800" w:hanging="180"/>
      </w:pPr>
    </w:lvl>
    <w:lvl w:ilvl="3" w:tplc="3C2A5FF4" w:tentative="1">
      <w:start w:val="1"/>
      <w:numFmt w:val="decimal"/>
      <w:lvlText w:val="%4."/>
      <w:lvlJc w:val="left"/>
      <w:pPr>
        <w:ind w:left="2520" w:hanging="360"/>
      </w:pPr>
    </w:lvl>
    <w:lvl w:ilvl="4" w:tplc="7F50A5DC" w:tentative="1">
      <w:start w:val="1"/>
      <w:numFmt w:val="lowerLetter"/>
      <w:lvlText w:val="%5."/>
      <w:lvlJc w:val="left"/>
      <w:pPr>
        <w:ind w:left="3240" w:hanging="360"/>
      </w:pPr>
    </w:lvl>
    <w:lvl w:ilvl="5" w:tplc="5C06B742" w:tentative="1">
      <w:start w:val="1"/>
      <w:numFmt w:val="lowerRoman"/>
      <w:lvlText w:val="%6."/>
      <w:lvlJc w:val="right"/>
      <w:pPr>
        <w:ind w:left="3960" w:hanging="180"/>
      </w:pPr>
    </w:lvl>
    <w:lvl w:ilvl="6" w:tplc="D7046E7A" w:tentative="1">
      <w:start w:val="1"/>
      <w:numFmt w:val="decimal"/>
      <w:lvlText w:val="%7."/>
      <w:lvlJc w:val="left"/>
      <w:pPr>
        <w:ind w:left="4680" w:hanging="360"/>
      </w:pPr>
    </w:lvl>
    <w:lvl w:ilvl="7" w:tplc="B7224C4A" w:tentative="1">
      <w:start w:val="1"/>
      <w:numFmt w:val="lowerLetter"/>
      <w:lvlText w:val="%8."/>
      <w:lvlJc w:val="left"/>
      <w:pPr>
        <w:ind w:left="5400" w:hanging="360"/>
      </w:pPr>
    </w:lvl>
    <w:lvl w:ilvl="8" w:tplc="1A847A08" w:tentative="1">
      <w:start w:val="1"/>
      <w:numFmt w:val="lowerRoman"/>
      <w:lvlText w:val="%9."/>
      <w:lvlJc w:val="right"/>
      <w:pPr>
        <w:ind w:left="6120" w:hanging="180"/>
      </w:pPr>
    </w:lvl>
  </w:abstractNum>
  <w:abstractNum w:abstractNumId="33" w15:restartNumberingAfterBreak="0">
    <w:nsid w:val="6F4C7CED"/>
    <w:multiLevelType w:val="hybridMultilevel"/>
    <w:tmpl w:val="C18E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C076B6"/>
    <w:multiLevelType w:val="hybridMultilevel"/>
    <w:tmpl w:val="02F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4835D5"/>
    <w:multiLevelType w:val="hybridMultilevel"/>
    <w:tmpl w:val="043CA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EC2A74"/>
    <w:multiLevelType w:val="hybridMultilevel"/>
    <w:tmpl w:val="A0E62F2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7E543D76"/>
    <w:multiLevelType w:val="hybridMultilevel"/>
    <w:tmpl w:val="3D9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482F2E"/>
    <w:multiLevelType w:val="hybridMultilevel"/>
    <w:tmpl w:val="8CC25B1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0"/>
  </w:num>
  <w:num w:numId="3">
    <w:abstractNumId w:val="11"/>
  </w:num>
  <w:num w:numId="4">
    <w:abstractNumId w:val="29"/>
  </w:num>
  <w:num w:numId="5">
    <w:abstractNumId w:val="4"/>
  </w:num>
  <w:num w:numId="6">
    <w:abstractNumId w:val="8"/>
  </w:num>
  <w:num w:numId="7">
    <w:abstractNumId w:val="0"/>
  </w:num>
  <w:num w:numId="8">
    <w:abstractNumId w:val="22"/>
  </w:num>
  <w:num w:numId="9">
    <w:abstractNumId w:val="12"/>
  </w:num>
  <w:num w:numId="10">
    <w:abstractNumId w:val="38"/>
  </w:num>
  <w:num w:numId="11">
    <w:abstractNumId w:val="23"/>
  </w:num>
  <w:num w:numId="12">
    <w:abstractNumId w:val="21"/>
  </w:num>
  <w:num w:numId="13">
    <w:abstractNumId w:val="25"/>
  </w:num>
  <w:num w:numId="14">
    <w:abstractNumId w:val="30"/>
  </w:num>
  <w:num w:numId="15">
    <w:abstractNumId w:val="17"/>
  </w:num>
  <w:num w:numId="16">
    <w:abstractNumId w:val="37"/>
  </w:num>
  <w:num w:numId="17">
    <w:abstractNumId w:val="5"/>
  </w:num>
  <w:num w:numId="18">
    <w:abstractNumId w:val="33"/>
  </w:num>
  <w:num w:numId="19">
    <w:abstractNumId w:val="19"/>
  </w:num>
  <w:num w:numId="20">
    <w:abstractNumId w:val="35"/>
  </w:num>
  <w:num w:numId="21">
    <w:abstractNumId w:val="15"/>
  </w:num>
  <w:num w:numId="22">
    <w:abstractNumId w:val="2"/>
  </w:num>
  <w:num w:numId="23">
    <w:abstractNumId w:val="26"/>
  </w:num>
  <w:num w:numId="24">
    <w:abstractNumId w:val="36"/>
  </w:num>
  <w:num w:numId="25">
    <w:abstractNumId w:val="7"/>
  </w:num>
  <w:num w:numId="26">
    <w:abstractNumId w:val="18"/>
  </w:num>
  <w:num w:numId="27">
    <w:abstractNumId w:val="24"/>
  </w:num>
  <w:num w:numId="28">
    <w:abstractNumId w:val="1"/>
  </w:num>
  <w:num w:numId="29">
    <w:abstractNumId w:val="34"/>
  </w:num>
  <w:num w:numId="30">
    <w:abstractNumId w:val="27"/>
  </w:num>
  <w:num w:numId="31">
    <w:abstractNumId w:val="16"/>
  </w:num>
  <w:num w:numId="32">
    <w:abstractNumId w:val="14"/>
  </w:num>
  <w:num w:numId="33">
    <w:abstractNumId w:val="13"/>
  </w:num>
  <w:num w:numId="34">
    <w:abstractNumId w:val="31"/>
  </w:num>
  <w:num w:numId="35">
    <w:abstractNumId w:val="3"/>
  </w:num>
  <w:num w:numId="36">
    <w:abstractNumId w:val="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33"/>
    <w:rsid w:val="000022A3"/>
    <w:rsid w:val="0000414B"/>
    <w:rsid w:val="00011A11"/>
    <w:rsid w:val="00012336"/>
    <w:rsid w:val="00021477"/>
    <w:rsid w:val="0003104C"/>
    <w:rsid w:val="00033DEB"/>
    <w:rsid w:val="00060D8F"/>
    <w:rsid w:val="000624E8"/>
    <w:rsid w:val="00084131"/>
    <w:rsid w:val="00085A10"/>
    <w:rsid w:val="0008767C"/>
    <w:rsid w:val="00092AEA"/>
    <w:rsid w:val="00096D57"/>
    <w:rsid w:val="000A2400"/>
    <w:rsid w:val="000A31AE"/>
    <w:rsid w:val="000A3751"/>
    <w:rsid w:val="000A636F"/>
    <w:rsid w:val="000C0156"/>
    <w:rsid w:val="000C6E46"/>
    <w:rsid w:val="000D39CA"/>
    <w:rsid w:val="000D788B"/>
    <w:rsid w:val="000E1E0B"/>
    <w:rsid w:val="000F2179"/>
    <w:rsid w:val="000F2B8A"/>
    <w:rsid w:val="000F4295"/>
    <w:rsid w:val="000F5923"/>
    <w:rsid w:val="000F74F4"/>
    <w:rsid w:val="00106026"/>
    <w:rsid w:val="00112F7E"/>
    <w:rsid w:val="0011392A"/>
    <w:rsid w:val="00114C61"/>
    <w:rsid w:val="0011558D"/>
    <w:rsid w:val="00130DA0"/>
    <w:rsid w:val="00135F2C"/>
    <w:rsid w:val="00141B2C"/>
    <w:rsid w:val="00141E2B"/>
    <w:rsid w:val="001468D1"/>
    <w:rsid w:val="0015239C"/>
    <w:rsid w:val="00181CD7"/>
    <w:rsid w:val="00183CBF"/>
    <w:rsid w:val="00185790"/>
    <w:rsid w:val="00196B44"/>
    <w:rsid w:val="001A26F1"/>
    <w:rsid w:val="001B48EB"/>
    <w:rsid w:val="001B791C"/>
    <w:rsid w:val="001D0A9E"/>
    <w:rsid w:val="001D2FBE"/>
    <w:rsid w:val="001D5EFC"/>
    <w:rsid w:val="001E0CEA"/>
    <w:rsid w:val="001E275C"/>
    <w:rsid w:val="001E6009"/>
    <w:rsid w:val="001E6062"/>
    <w:rsid w:val="001F647B"/>
    <w:rsid w:val="00200C17"/>
    <w:rsid w:val="00202B00"/>
    <w:rsid w:val="0022102A"/>
    <w:rsid w:val="00224830"/>
    <w:rsid w:val="002306C8"/>
    <w:rsid w:val="00241159"/>
    <w:rsid w:val="00242E53"/>
    <w:rsid w:val="002457E1"/>
    <w:rsid w:val="00253BE7"/>
    <w:rsid w:val="00262BFD"/>
    <w:rsid w:val="0027423A"/>
    <w:rsid w:val="00281086"/>
    <w:rsid w:val="00284938"/>
    <w:rsid w:val="002871D1"/>
    <w:rsid w:val="0029190E"/>
    <w:rsid w:val="00294107"/>
    <w:rsid w:val="0029669E"/>
    <w:rsid w:val="00297F0D"/>
    <w:rsid w:val="002A0282"/>
    <w:rsid w:val="002A21D9"/>
    <w:rsid w:val="002B4C59"/>
    <w:rsid w:val="002D1A5F"/>
    <w:rsid w:val="002D34AA"/>
    <w:rsid w:val="002D481D"/>
    <w:rsid w:val="002D548A"/>
    <w:rsid w:val="002E008B"/>
    <w:rsid w:val="002E29C3"/>
    <w:rsid w:val="002E4A98"/>
    <w:rsid w:val="002E68DD"/>
    <w:rsid w:val="002E7743"/>
    <w:rsid w:val="002F1794"/>
    <w:rsid w:val="00303F16"/>
    <w:rsid w:val="00304015"/>
    <w:rsid w:val="00306BAB"/>
    <w:rsid w:val="0031420E"/>
    <w:rsid w:val="003218E7"/>
    <w:rsid w:val="00321AD3"/>
    <w:rsid w:val="00321CBD"/>
    <w:rsid w:val="00325FB6"/>
    <w:rsid w:val="00342E15"/>
    <w:rsid w:val="003510CF"/>
    <w:rsid w:val="00356E1D"/>
    <w:rsid w:val="003570A5"/>
    <w:rsid w:val="003616BF"/>
    <w:rsid w:val="0036644D"/>
    <w:rsid w:val="003724CD"/>
    <w:rsid w:val="00385852"/>
    <w:rsid w:val="003969EF"/>
    <w:rsid w:val="003A1F4E"/>
    <w:rsid w:val="003C0945"/>
    <w:rsid w:val="003D48D9"/>
    <w:rsid w:val="003E0D4E"/>
    <w:rsid w:val="003E73B1"/>
    <w:rsid w:val="003F31D2"/>
    <w:rsid w:val="004017F9"/>
    <w:rsid w:val="004209E6"/>
    <w:rsid w:val="004215AC"/>
    <w:rsid w:val="00426A0A"/>
    <w:rsid w:val="00433711"/>
    <w:rsid w:val="0043389F"/>
    <w:rsid w:val="00446CB0"/>
    <w:rsid w:val="00454A2C"/>
    <w:rsid w:val="004555DC"/>
    <w:rsid w:val="00457FC7"/>
    <w:rsid w:val="00460406"/>
    <w:rsid w:val="00460D17"/>
    <w:rsid w:val="00461B0C"/>
    <w:rsid w:val="00461F3F"/>
    <w:rsid w:val="00462AC8"/>
    <w:rsid w:val="0046497E"/>
    <w:rsid w:val="00470570"/>
    <w:rsid w:val="00473041"/>
    <w:rsid w:val="00474928"/>
    <w:rsid w:val="00481230"/>
    <w:rsid w:val="0049264C"/>
    <w:rsid w:val="00496300"/>
    <w:rsid w:val="004A1C54"/>
    <w:rsid w:val="004B7AC5"/>
    <w:rsid w:val="004C2F5E"/>
    <w:rsid w:val="004C73A2"/>
    <w:rsid w:val="004D122A"/>
    <w:rsid w:val="004F028F"/>
    <w:rsid w:val="004F0CFD"/>
    <w:rsid w:val="004F1A7F"/>
    <w:rsid w:val="004F4009"/>
    <w:rsid w:val="004F489D"/>
    <w:rsid w:val="004F70C4"/>
    <w:rsid w:val="005022AC"/>
    <w:rsid w:val="005057FD"/>
    <w:rsid w:val="00510BDA"/>
    <w:rsid w:val="00524435"/>
    <w:rsid w:val="00524D1D"/>
    <w:rsid w:val="005323E9"/>
    <w:rsid w:val="0053734E"/>
    <w:rsid w:val="00545746"/>
    <w:rsid w:val="00552114"/>
    <w:rsid w:val="00557B44"/>
    <w:rsid w:val="005731FF"/>
    <w:rsid w:val="005900F5"/>
    <w:rsid w:val="00593E08"/>
    <w:rsid w:val="005A648F"/>
    <w:rsid w:val="005A7624"/>
    <w:rsid w:val="005B204A"/>
    <w:rsid w:val="005B22C4"/>
    <w:rsid w:val="005C28C5"/>
    <w:rsid w:val="005D04FE"/>
    <w:rsid w:val="005D171F"/>
    <w:rsid w:val="005D25DD"/>
    <w:rsid w:val="005E447B"/>
    <w:rsid w:val="005E5DC4"/>
    <w:rsid w:val="005F0A69"/>
    <w:rsid w:val="005F5836"/>
    <w:rsid w:val="00600200"/>
    <w:rsid w:val="00610853"/>
    <w:rsid w:val="00623436"/>
    <w:rsid w:val="006471A2"/>
    <w:rsid w:val="006478CE"/>
    <w:rsid w:val="00657229"/>
    <w:rsid w:val="00685CE8"/>
    <w:rsid w:val="00687837"/>
    <w:rsid w:val="00687D9F"/>
    <w:rsid w:val="006904E2"/>
    <w:rsid w:val="006906CF"/>
    <w:rsid w:val="00692A0A"/>
    <w:rsid w:val="006964D0"/>
    <w:rsid w:val="006A031D"/>
    <w:rsid w:val="006A192A"/>
    <w:rsid w:val="006A570A"/>
    <w:rsid w:val="006B56D0"/>
    <w:rsid w:val="006C0F9C"/>
    <w:rsid w:val="006C5928"/>
    <w:rsid w:val="006D4FD9"/>
    <w:rsid w:val="006D6034"/>
    <w:rsid w:val="006E06FC"/>
    <w:rsid w:val="006E7516"/>
    <w:rsid w:val="006F2B76"/>
    <w:rsid w:val="006F3E8D"/>
    <w:rsid w:val="00732886"/>
    <w:rsid w:val="0075466C"/>
    <w:rsid w:val="00761163"/>
    <w:rsid w:val="007613DD"/>
    <w:rsid w:val="0076208E"/>
    <w:rsid w:val="00762E10"/>
    <w:rsid w:val="007639E5"/>
    <w:rsid w:val="00773106"/>
    <w:rsid w:val="00790210"/>
    <w:rsid w:val="007A627A"/>
    <w:rsid w:val="007B0D18"/>
    <w:rsid w:val="007B290D"/>
    <w:rsid w:val="007B39E6"/>
    <w:rsid w:val="007B4888"/>
    <w:rsid w:val="007B70AC"/>
    <w:rsid w:val="007C55E6"/>
    <w:rsid w:val="007C7CE7"/>
    <w:rsid w:val="007D0A18"/>
    <w:rsid w:val="007E0DAE"/>
    <w:rsid w:val="007E196B"/>
    <w:rsid w:val="00801B60"/>
    <w:rsid w:val="008046EA"/>
    <w:rsid w:val="00806120"/>
    <w:rsid w:val="008150B1"/>
    <w:rsid w:val="00816245"/>
    <w:rsid w:val="00821D97"/>
    <w:rsid w:val="00824216"/>
    <w:rsid w:val="008262CC"/>
    <w:rsid w:val="0082740D"/>
    <w:rsid w:val="00840B26"/>
    <w:rsid w:val="0085141F"/>
    <w:rsid w:val="00851BE6"/>
    <w:rsid w:val="00853CC3"/>
    <w:rsid w:val="00857566"/>
    <w:rsid w:val="00861E37"/>
    <w:rsid w:val="00865E64"/>
    <w:rsid w:val="00870E36"/>
    <w:rsid w:val="00871D24"/>
    <w:rsid w:val="00876055"/>
    <w:rsid w:val="008927F9"/>
    <w:rsid w:val="00894581"/>
    <w:rsid w:val="00895F6D"/>
    <w:rsid w:val="0089763D"/>
    <w:rsid w:val="0089767A"/>
    <w:rsid w:val="008976A8"/>
    <w:rsid w:val="008A1EA2"/>
    <w:rsid w:val="008B240D"/>
    <w:rsid w:val="008B546D"/>
    <w:rsid w:val="008C2144"/>
    <w:rsid w:val="008D5455"/>
    <w:rsid w:val="008E7845"/>
    <w:rsid w:val="00915CAE"/>
    <w:rsid w:val="00916490"/>
    <w:rsid w:val="009223DA"/>
    <w:rsid w:val="00924058"/>
    <w:rsid w:val="00932962"/>
    <w:rsid w:val="00932AE5"/>
    <w:rsid w:val="0093444F"/>
    <w:rsid w:val="00935BBD"/>
    <w:rsid w:val="009367B7"/>
    <w:rsid w:val="009532FC"/>
    <w:rsid w:val="009543DE"/>
    <w:rsid w:val="00954888"/>
    <w:rsid w:val="00973D90"/>
    <w:rsid w:val="00974669"/>
    <w:rsid w:val="00981935"/>
    <w:rsid w:val="00985260"/>
    <w:rsid w:val="00990291"/>
    <w:rsid w:val="0099199A"/>
    <w:rsid w:val="00995C51"/>
    <w:rsid w:val="00997E30"/>
    <w:rsid w:val="009A7B2F"/>
    <w:rsid w:val="009B080A"/>
    <w:rsid w:val="009B239D"/>
    <w:rsid w:val="009B28D3"/>
    <w:rsid w:val="009B54E6"/>
    <w:rsid w:val="009B666E"/>
    <w:rsid w:val="009D1E93"/>
    <w:rsid w:val="009D4714"/>
    <w:rsid w:val="009E035C"/>
    <w:rsid w:val="009E40DF"/>
    <w:rsid w:val="009E55DD"/>
    <w:rsid w:val="009F5399"/>
    <w:rsid w:val="009F6876"/>
    <w:rsid w:val="00A02CB3"/>
    <w:rsid w:val="00A04C4C"/>
    <w:rsid w:val="00A066EF"/>
    <w:rsid w:val="00A07E49"/>
    <w:rsid w:val="00A109E8"/>
    <w:rsid w:val="00A131EC"/>
    <w:rsid w:val="00A1349C"/>
    <w:rsid w:val="00A22057"/>
    <w:rsid w:val="00A22076"/>
    <w:rsid w:val="00A2433D"/>
    <w:rsid w:val="00A3104E"/>
    <w:rsid w:val="00A42A23"/>
    <w:rsid w:val="00A55906"/>
    <w:rsid w:val="00A60FCB"/>
    <w:rsid w:val="00A652E3"/>
    <w:rsid w:val="00A654B8"/>
    <w:rsid w:val="00A66A36"/>
    <w:rsid w:val="00A70A9B"/>
    <w:rsid w:val="00A711F2"/>
    <w:rsid w:val="00A8271B"/>
    <w:rsid w:val="00AA763E"/>
    <w:rsid w:val="00AC1257"/>
    <w:rsid w:val="00AC28BD"/>
    <w:rsid w:val="00AC29CC"/>
    <w:rsid w:val="00AC3613"/>
    <w:rsid w:val="00AD2C18"/>
    <w:rsid w:val="00AD7212"/>
    <w:rsid w:val="00AE134E"/>
    <w:rsid w:val="00AE7686"/>
    <w:rsid w:val="00AF0D32"/>
    <w:rsid w:val="00B052D5"/>
    <w:rsid w:val="00B07974"/>
    <w:rsid w:val="00B17DF6"/>
    <w:rsid w:val="00B212C9"/>
    <w:rsid w:val="00B277DC"/>
    <w:rsid w:val="00B3603C"/>
    <w:rsid w:val="00B42157"/>
    <w:rsid w:val="00B660D0"/>
    <w:rsid w:val="00B842A8"/>
    <w:rsid w:val="00B86B06"/>
    <w:rsid w:val="00B92596"/>
    <w:rsid w:val="00BC7EB1"/>
    <w:rsid w:val="00BD1E60"/>
    <w:rsid w:val="00BD2BE7"/>
    <w:rsid w:val="00BD6560"/>
    <w:rsid w:val="00C001EA"/>
    <w:rsid w:val="00C060FC"/>
    <w:rsid w:val="00C30E67"/>
    <w:rsid w:val="00C30FD5"/>
    <w:rsid w:val="00C357C1"/>
    <w:rsid w:val="00C47D12"/>
    <w:rsid w:val="00C50546"/>
    <w:rsid w:val="00C54B33"/>
    <w:rsid w:val="00C64C52"/>
    <w:rsid w:val="00C70C60"/>
    <w:rsid w:val="00C71E35"/>
    <w:rsid w:val="00C76656"/>
    <w:rsid w:val="00C819D1"/>
    <w:rsid w:val="00C8222A"/>
    <w:rsid w:val="00C87650"/>
    <w:rsid w:val="00C96F9A"/>
    <w:rsid w:val="00C9764E"/>
    <w:rsid w:val="00CA1F81"/>
    <w:rsid w:val="00CB2EEC"/>
    <w:rsid w:val="00CB4F25"/>
    <w:rsid w:val="00CB5114"/>
    <w:rsid w:val="00CB6788"/>
    <w:rsid w:val="00CB68FF"/>
    <w:rsid w:val="00CB6F19"/>
    <w:rsid w:val="00CB7A07"/>
    <w:rsid w:val="00CC4CA1"/>
    <w:rsid w:val="00CC59C9"/>
    <w:rsid w:val="00CD5AB9"/>
    <w:rsid w:val="00CE667A"/>
    <w:rsid w:val="00CF471F"/>
    <w:rsid w:val="00CF5C95"/>
    <w:rsid w:val="00D029FC"/>
    <w:rsid w:val="00D1334B"/>
    <w:rsid w:val="00D13CDE"/>
    <w:rsid w:val="00D14D55"/>
    <w:rsid w:val="00D16C39"/>
    <w:rsid w:val="00D22D65"/>
    <w:rsid w:val="00D41ABF"/>
    <w:rsid w:val="00D67478"/>
    <w:rsid w:val="00D74DEA"/>
    <w:rsid w:val="00D750AB"/>
    <w:rsid w:val="00D812D7"/>
    <w:rsid w:val="00D91554"/>
    <w:rsid w:val="00D917A7"/>
    <w:rsid w:val="00D94720"/>
    <w:rsid w:val="00DA3E63"/>
    <w:rsid w:val="00DB03A4"/>
    <w:rsid w:val="00DB4488"/>
    <w:rsid w:val="00DB6789"/>
    <w:rsid w:val="00DC0B1C"/>
    <w:rsid w:val="00DC431E"/>
    <w:rsid w:val="00DD6553"/>
    <w:rsid w:val="00DE538C"/>
    <w:rsid w:val="00DE5A5F"/>
    <w:rsid w:val="00DF6E20"/>
    <w:rsid w:val="00E050FD"/>
    <w:rsid w:val="00E0624B"/>
    <w:rsid w:val="00E07BCC"/>
    <w:rsid w:val="00E13315"/>
    <w:rsid w:val="00E15C74"/>
    <w:rsid w:val="00E22C02"/>
    <w:rsid w:val="00E25B0D"/>
    <w:rsid w:val="00E30387"/>
    <w:rsid w:val="00E316D9"/>
    <w:rsid w:val="00E36A6F"/>
    <w:rsid w:val="00E37A3E"/>
    <w:rsid w:val="00E453CF"/>
    <w:rsid w:val="00E52175"/>
    <w:rsid w:val="00E55869"/>
    <w:rsid w:val="00E576BD"/>
    <w:rsid w:val="00E57B9C"/>
    <w:rsid w:val="00E62331"/>
    <w:rsid w:val="00E677F9"/>
    <w:rsid w:val="00E70F02"/>
    <w:rsid w:val="00E747B0"/>
    <w:rsid w:val="00E83EC0"/>
    <w:rsid w:val="00E8556B"/>
    <w:rsid w:val="00E90494"/>
    <w:rsid w:val="00E92124"/>
    <w:rsid w:val="00E94B0E"/>
    <w:rsid w:val="00EA31EE"/>
    <w:rsid w:val="00EB14F2"/>
    <w:rsid w:val="00EB4994"/>
    <w:rsid w:val="00EB4C24"/>
    <w:rsid w:val="00ED1F5A"/>
    <w:rsid w:val="00EE14BB"/>
    <w:rsid w:val="00EE25D3"/>
    <w:rsid w:val="00EE3482"/>
    <w:rsid w:val="00EE348F"/>
    <w:rsid w:val="00EE608F"/>
    <w:rsid w:val="00EF4A99"/>
    <w:rsid w:val="00F010A8"/>
    <w:rsid w:val="00F01662"/>
    <w:rsid w:val="00F0588C"/>
    <w:rsid w:val="00F10544"/>
    <w:rsid w:val="00F10C67"/>
    <w:rsid w:val="00F12546"/>
    <w:rsid w:val="00F1262A"/>
    <w:rsid w:val="00F1700F"/>
    <w:rsid w:val="00F244F0"/>
    <w:rsid w:val="00F265CD"/>
    <w:rsid w:val="00F34CF7"/>
    <w:rsid w:val="00F353EA"/>
    <w:rsid w:val="00F47341"/>
    <w:rsid w:val="00F5678A"/>
    <w:rsid w:val="00F64ADE"/>
    <w:rsid w:val="00F73572"/>
    <w:rsid w:val="00F8439E"/>
    <w:rsid w:val="00F97E6C"/>
    <w:rsid w:val="00FA0F77"/>
    <w:rsid w:val="00FA2022"/>
    <w:rsid w:val="00FA7158"/>
    <w:rsid w:val="00FC3629"/>
    <w:rsid w:val="00FC62B6"/>
    <w:rsid w:val="00FD41CD"/>
    <w:rsid w:val="00FD6798"/>
    <w:rsid w:val="00FD7EB0"/>
    <w:rsid w:val="00FE02BD"/>
    <w:rsid w:val="00FE05B3"/>
    <w:rsid w:val="00FE7820"/>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95D70"/>
  <w15:docId w15:val="{3A5095C3-F824-4C27-A1CD-F3B50F96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33"/>
    <w:pPr>
      <w:spacing w:after="160" w:line="259" w:lineRule="auto"/>
    </w:pPr>
  </w:style>
  <w:style w:type="paragraph" w:styleId="Heading1">
    <w:name w:val="heading 1"/>
    <w:basedOn w:val="Normal"/>
    <w:next w:val="Normal"/>
    <w:link w:val="Heading1Char"/>
    <w:uiPriority w:val="9"/>
    <w:qFormat/>
    <w:rsid w:val="00C54B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B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B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4B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B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54B33"/>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C54B33"/>
    <w:rPr>
      <w:color w:val="0000FF" w:themeColor="hyperlink"/>
      <w:u w:val="single"/>
    </w:rPr>
  </w:style>
  <w:style w:type="paragraph" w:styleId="Header">
    <w:name w:val="header"/>
    <w:basedOn w:val="Normal"/>
    <w:link w:val="HeaderChar"/>
    <w:uiPriority w:val="99"/>
    <w:unhideWhenUsed/>
    <w:qFormat/>
    <w:rsid w:val="00C54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B33"/>
  </w:style>
  <w:style w:type="paragraph" w:styleId="Footer">
    <w:name w:val="footer"/>
    <w:basedOn w:val="Normal"/>
    <w:link w:val="FooterChar"/>
    <w:uiPriority w:val="99"/>
    <w:unhideWhenUsed/>
    <w:rsid w:val="00C5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B33"/>
  </w:style>
  <w:style w:type="table" w:styleId="TableGrid">
    <w:name w:val="Table Grid"/>
    <w:basedOn w:val="TableNormal"/>
    <w:uiPriority w:val="59"/>
    <w:rsid w:val="00C54B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54B33"/>
    <w:pPr>
      <w:ind w:left="720"/>
      <w:contextualSpacing/>
    </w:pPr>
  </w:style>
  <w:style w:type="paragraph" w:styleId="BalloonText">
    <w:name w:val="Balloon Text"/>
    <w:basedOn w:val="Normal"/>
    <w:link w:val="BalloonTextChar"/>
    <w:uiPriority w:val="99"/>
    <w:semiHidden/>
    <w:unhideWhenUsed/>
    <w:rsid w:val="00C5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33"/>
    <w:rPr>
      <w:rFonts w:ascii="Tahoma" w:hAnsi="Tahoma" w:cs="Tahoma"/>
      <w:sz w:val="16"/>
      <w:szCs w:val="16"/>
    </w:rPr>
  </w:style>
  <w:style w:type="paragraph" w:styleId="TOCHeading">
    <w:name w:val="TOC Heading"/>
    <w:basedOn w:val="Heading1"/>
    <w:next w:val="Normal"/>
    <w:uiPriority w:val="39"/>
    <w:unhideWhenUsed/>
    <w:qFormat/>
    <w:rsid w:val="00C54B33"/>
    <w:pPr>
      <w:outlineLvl w:val="9"/>
    </w:pPr>
  </w:style>
  <w:style w:type="paragraph" w:styleId="TOC1">
    <w:name w:val="toc 1"/>
    <w:basedOn w:val="Normal"/>
    <w:next w:val="Normal"/>
    <w:autoRedefine/>
    <w:uiPriority w:val="39"/>
    <w:unhideWhenUsed/>
    <w:rsid w:val="00C54B33"/>
    <w:pPr>
      <w:spacing w:after="100"/>
    </w:pPr>
  </w:style>
  <w:style w:type="paragraph" w:styleId="TOC2">
    <w:name w:val="toc 2"/>
    <w:basedOn w:val="Normal"/>
    <w:next w:val="Normal"/>
    <w:autoRedefine/>
    <w:uiPriority w:val="39"/>
    <w:unhideWhenUsed/>
    <w:rsid w:val="00C54B33"/>
    <w:pPr>
      <w:spacing w:after="100"/>
      <w:ind w:left="220"/>
    </w:pPr>
  </w:style>
  <w:style w:type="paragraph" w:styleId="TOC3">
    <w:name w:val="toc 3"/>
    <w:basedOn w:val="Normal"/>
    <w:next w:val="Normal"/>
    <w:autoRedefine/>
    <w:uiPriority w:val="39"/>
    <w:unhideWhenUsed/>
    <w:rsid w:val="00C54B33"/>
    <w:pPr>
      <w:spacing w:after="100"/>
      <w:ind w:left="440"/>
    </w:pPr>
  </w:style>
  <w:style w:type="paragraph" w:styleId="Title">
    <w:name w:val="Title"/>
    <w:basedOn w:val="Normal"/>
    <w:next w:val="Normal"/>
    <w:link w:val="TitleChar"/>
    <w:uiPriority w:val="10"/>
    <w:qFormat/>
    <w:rsid w:val="00C54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33"/>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iPriority w:val="35"/>
    <w:unhideWhenUsed/>
    <w:qFormat/>
    <w:rsid w:val="00C54B33"/>
    <w:pPr>
      <w:spacing w:after="200" w:line="240" w:lineRule="auto"/>
    </w:pPr>
    <w:rPr>
      <w:i/>
      <w:iCs/>
      <w:color w:val="1F497D" w:themeColor="text2"/>
      <w:sz w:val="18"/>
      <w:szCs w:val="18"/>
    </w:rPr>
  </w:style>
  <w:style w:type="character" w:customStyle="1" w:styleId="CaptionChar">
    <w:name w:val="Caption Char"/>
    <w:basedOn w:val="DefaultParagraphFont"/>
    <w:link w:val="Caption"/>
    <w:uiPriority w:val="35"/>
    <w:rsid w:val="00C54B33"/>
    <w:rPr>
      <w:i/>
      <w:iCs/>
      <w:color w:val="1F497D" w:themeColor="text2"/>
      <w:sz w:val="18"/>
      <w:szCs w:val="18"/>
    </w:rPr>
  </w:style>
  <w:style w:type="paragraph" w:styleId="TableofFigures">
    <w:name w:val="table of figures"/>
    <w:basedOn w:val="Normal"/>
    <w:next w:val="Normal"/>
    <w:autoRedefine/>
    <w:uiPriority w:val="99"/>
    <w:unhideWhenUsed/>
    <w:qFormat/>
    <w:rsid w:val="00C54B33"/>
    <w:pPr>
      <w:spacing w:after="0"/>
    </w:pPr>
    <w:rPr>
      <w:rFonts w:ascii="Times New Roman" w:hAnsi="Times New Roman"/>
      <w:i/>
      <w:sz w:val="24"/>
    </w:rPr>
  </w:style>
  <w:style w:type="paragraph" w:customStyle="1" w:styleId="tablesstyle">
    <w:name w:val="tables style"/>
    <w:basedOn w:val="Caption"/>
    <w:next w:val="Caption"/>
    <w:link w:val="tablesstyleChar"/>
    <w:autoRedefine/>
    <w:qFormat/>
    <w:rsid w:val="006A570A"/>
    <w:pPr>
      <w:spacing w:after="0"/>
      <w:jc w:val="both"/>
    </w:pPr>
    <w:rPr>
      <w:rFonts w:ascii="Times New Roman" w:hAnsi="Times New Roman" w:cs="Times New Roman"/>
      <w:i w:val="0"/>
      <w:color w:val="auto"/>
      <w:sz w:val="24"/>
    </w:rPr>
  </w:style>
  <w:style w:type="character" w:customStyle="1" w:styleId="tablesstyleChar">
    <w:name w:val="tables style Char"/>
    <w:basedOn w:val="CaptionChar"/>
    <w:link w:val="tablesstyle"/>
    <w:rsid w:val="006A570A"/>
    <w:rPr>
      <w:rFonts w:ascii="Times New Roman" w:hAnsi="Times New Roman" w:cs="Times New Roman"/>
      <w:i w:val="0"/>
      <w:iCs/>
      <w:color w:val="1F497D" w:themeColor="text2"/>
      <w:sz w:val="24"/>
      <w:szCs w:val="18"/>
    </w:rPr>
  </w:style>
  <w:style w:type="paragraph" w:customStyle="1" w:styleId="figurestyle">
    <w:name w:val="figure style"/>
    <w:basedOn w:val="Caption"/>
    <w:next w:val="Caption"/>
    <w:link w:val="figurestyleChar"/>
    <w:autoRedefine/>
    <w:qFormat/>
    <w:rsid w:val="00C54B33"/>
    <w:pPr>
      <w:spacing w:line="360" w:lineRule="auto"/>
      <w:jc w:val="both"/>
    </w:pPr>
    <w:rPr>
      <w:rFonts w:ascii="Times New Roman" w:hAnsi="Times New Roman"/>
      <w:i w:val="0"/>
      <w:sz w:val="24"/>
    </w:rPr>
  </w:style>
  <w:style w:type="character" w:customStyle="1" w:styleId="figurestyleChar">
    <w:name w:val="figure style Char"/>
    <w:basedOn w:val="CaptionChar"/>
    <w:link w:val="figurestyle"/>
    <w:rsid w:val="00C54B33"/>
    <w:rPr>
      <w:rFonts w:ascii="Times New Roman" w:hAnsi="Times New Roman"/>
      <w:i w:val="0"/>
      <w:iCs/>
      <w:color w:val="1F497D" w:themeColor="text2"/>
      <w:sz w:val="24"/>
      <w:szCs w:val="18"/>
    </w:rPr>
  </w:style>
  <w:style w:type="paragraph" w:styleId="NormalWeb">
    <w:name w:val="Normal (Web)"/>
    <w:basedOn w:val="Normal"/>
    <w:uiPriority w:val="99"/>
    <w:unhideWhenUsed/>
    <w:rsid w:val="00C54B33"/>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54B33"/>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arkedcontent">
    <w:name w:val="markedcontent"/>
    <w:basedOn w:val="DefaultParagraphFont"/>
    <w:rsid w:val="00C54B33"/>
  </w:style>
  <w:style w:type="table" w:styleId="LightShading-Accent5">
    <w:name w:val="Light Shading Accent 5"/>
    <w:basedOn w:val="TableNormal"/>
    <w:uiPriority w:val="60"/>
    <w:rsid w:val="00EE25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20"/>
    <w:qFormat/>
    <w:rsid w:val="007D0A18"/>
    <w:rPr>
      <w:i/>
      <w:iCs/>
    </w:rPr>
  </w:style>
  <w:style w:type="paragraph" w:styleId="Revision">
    <w:name w:val="Revision"/>
    <w:hidden/>
    <w:uiPriority w:val="99"/>
    <w:semiHidden/>
    <w:rsid w:val="00E70F02"/>
    <w:pPr>
      <w:spacing w:after="0" w:line="240" w:lineRule="auto"/>
    </w:pPr>
  </w:style>
  <w:style w:type="character" w:styleId="CommentReference">
    <w:name w:val="annotation reference"/>
    <w:basedOn w:val="DefaultParagraphFont"/>
    <w:uiPriority w:val="99"/>
    <w:semiHidden/>
    <w:unhideWhenUsed/>
    <w:rsid w:val="00EF4A99"/>
    <w:rPr>
      <w:sz w:val="16"/>
      <w:szCs w:val="16"/>
    </w:rPr>
  </w:style>
  <w:style w:type="paragraph" w:styleId="CommentText">
    <w:name w:val="annotation text"/>
    <w:basedOn w:val="Normal"/>
    <w:link w:val="CommentTextChar"/>
    <w:uiPriority w:val="99"/>
    <w:semiHidden/>
    <w:unhideWhenUsed/>
    <w:rsid w:val="00EF4A99"/>
    <w:pPr>
      <w:spacing w:line="240" w:lineRule="auto"/>
    </w:pPr>
    <w:rPr>
      <w:sz w:val="20"/>
      <w:szCs w:val="20"/>
    </w:rPr>
  </w:style>
  <w:style w:type="character" w:customStyle="1" w:styleId="CommentTextChar">
    <w:name w:val="Comment Text Char"/>
    <w:basedOn w:val="DefaultParagraphFont"/>
    <w:link w:val="CommentText"/>
    <w:uiPriority w:val="99"/>
    <w:semiHidden/>
    <w:rsid w:val="00EF4A99"/>
    <w:rPr>
      <w:sz w:val="20"/>
      <w:szCs w:val="20"/>
    </w:rPr>
  </w:style>
  <w:style w:type="paragraph" w:styleId="CommentSubject">
    <w:name w:val="annotation subject"/>
    <w:basedOn w:val="CommentText"/>
    <w:next w:val="CommentText"/>
    <w:link w:val="CommentSubjectChar"/>
    <w:uiPriority w:val="99"/>
    <w:semiHidden/>
    <w:unhideWhenUsed/>
    <w:rsid w:val="00EF4A99"/>
    <w:rPr>
      <w:b/>
      <w:bCs/>
    </w:rPr>
  </w:style>
  <w:style w:type="character" w:customStyle="1" w:styleId="CommentSubjectChar">
    <w:name w:val="Comment Subject Char"/>
    <w:basedOn w:val="CommentTextChar"/>
    <w:link w:val="CommentSubject"/>
    <w:uiPriority w:val="99"/>
    <w:semiHidden/>
    <w:rsid w:val="00EF4A99"/>
    <w:rPr>
      <w:b/>
      <w:bCs/>
      <w:sz w:val="20"/>
      <w:szCs w:val="20"/>
    </w:rPr>
  </w:style>
  <w:style w:type="character" w:customStyle="1" w:styleId="UnresolvedMention1">
    <w:name w:val="Unresolved Mention1"/>
    <w:basedOn w:val="DefaultParagraphFont"/>
    <w:uiPriority w:val="99"/>
    <w:semiHidden/>
    <w:unhideWhenUsed/>
    <w:rsid w:val="00ED1F5A"/>
    <w:rPr>
      <w:color w:val="605E5C"/>
      <w:shd w:val="clear" w:color="auto" w:fill="E1DFDD"/>
    </w:rPr>
  </w:style>
  <w:style w:type="paragraph" w:styleId="NoSpacing">
    <w:name w:val="No Spacing"/>
    <w:link w:val="NoSpacingChar"/>
    <w:uiPriority w:val="1"/>
    <w:qFormat/>
    <w:rsid w:val="00B212C9"/>
    <w:pPr>
      <w:spacing w:after="0" w:line="240" w:lineRule="auto"/>
    </w:pPr>
  </w:style>
  <w:style w:type="table" w:customStyle="1" w:styleId="TableGridLight1">
    <w:name w:val="Table Grid Light1"/>
    <w:basedOn w:val="TableNormal"/>
    <w:uiPriority w:val="40"/>
    <w:rsid w:val="00CC59C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A763E"/>
    <w:pPr>
      <w:spacing w:after="200"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63E"/>
    <w:rPr>
      <w:rFonts w:ascii="Calibri" w:hAnsi="Calibri" w:cs="Calibri"/>
      <w:noProof/>
    </w:rPr>
  </w:style>
  <w:style w:type="character" w:styleId="LineNumber">
    <w:name w:val="line number"/>
    <w:basedOn w:val="DefaultParagraphFont"/>
    <w:uiPriority w:val="99"/>
    <w:semiHidden/>
    <w:unhideWhenUsed/>
    <w:rsid w:val="00AA763E"/>
  </w:style>
  <w:style w:type="table" w:customStyle="1" w:styleId="PlainTable41">
    <w:name w:val="Plain Table 41"/>
    <w:basedOn w:val="TableNormal"/>
    <w:uiPriority w:val="44"/>
    <w:rsid w:val="00183C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22483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2483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616BF"/>
    <w:pPr>
      <w:widowControl w:val="0"/>
      <w:spacing w:after="0" w:line="273" w:lineRule="exact"/>
      <w:ind w:left="105"/>
    </w:pPr>
    <w:rPr>
      <w:rFonts w:ascii="Times New Roman" w:eastAsia="Times New Roman" w:hAnsi="Times New Roman" w:cs="Times New Roman"/>
    </w:rPr>
  </w:style>
  <w:style w:type="character" w:styleId="Strong">
    <w:name w:val="Strong"/>
    <w:basedOn w:val="DefaultParagraphFont"/>
    <w:uiPriority w:val="22"/>
    <w:qFormat/>
    <w:rsid w:val="00E90494"/>
    <w:rPr>
      <w:b/>
      <w:bCs/>
    </w:rPr>
  </w:style>
  <w:style w:type="paragraph" w:customStyle="1" w:styleId="Table">
    <w:name w:val="Table"/>
    <w:basedOn w:val="Normal"/>
    <w:qFormat/>
    <w:rsid w:val="00F64ADE"/>
    <w:pPr>
      <w:spacing w:after="200" w:line="276"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F64ADE"/>
  </w:style>
  <w:style w:type="table" w:customStyle="1" w:styleId="TableGrid1">
    <w:name w:val="Table Grid1"/>
    <w:basedOn w:val="TableNormal"/>
    <w:next w:val="TableGrid"/>
    <w:uiPriority w:val="59"/>
    <w:rsid w:val="00F64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Ig">
    <w:name w:val="FiIg"/>
    <w:basedOn w:val="Normal"/>
    <w:qFormat/>
    <w:rsid w:val="002306C8"/>
    <w:pPr>
      <w:spacing w:line="276" w:lineRule="auto"/>
      <w:jc w:val="center"/>
    </w:pPr>
    <w:rPr>
      <w:rFonts w:ascii="Times New Roman" w:eastAsia="Calibri" w:hAnsi="Times New Roman" w:cs="SimSun"/>
    </w:rPr>
  </w:style>
  <w:style w:type="character" w:customStyle="1" w:styleId="ListParagraphChar">
    <w:name w:val="List Paragraph Char"/>
    <w:link w:val="ListParagraph"/>
    <w:uiPriority w:val="34"/>
    <w:rsid w:val="00454A2C"/>
  </w:style>
  <w:style w:type="paragraph" w:customStyle="1" w:styleId="Fig">
    <w:name w:val="Fig"/>
    <w:basedOn w:val="Normal"/>
    <w:qFormat/>
    <w:rsid w:val="00454A2C"/>
    <w:pPr>
      <w:spacing w:after="200" w:line="36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882">
      <w:bodyDiv w:val="1"/>
      <w:marLeft w:val="0"/>
      <w:marRight w:val="0"/>
      <w:marTop w:val="0"/>
      <w:marBottom w:val="0"/>
      <w:divBdr>
        <w:top w:val="none" w:sz="0" w:space="0" w:color="auto"/>
        <w:left w:val="none" w:sz="0" w:space="0" w:color="auto"/>
        <w:bottom w:val="none" w:sz="0" w:space="0" w:color="auto"/>
        <w:right w:val="none" w:sz="0" w:space="0" w:color="auto"/>
      </w:divBdr>
    </w:div>
    <w:div w:id="277417679">
      <w:bodyDiv w:val="1"/>
      <w:marLeft w:val="0"/>
      <w:marRight w:val="0"/>
      <w:marTop w:val="0"/>
      <w:marBottom w:val="0"/>
      <w:divBdr>
        <w:top w:val="none" w:sz="0" w:space="0" w:color="auto"/>
        <w:left w:val="none" w:sz="0" w:space="0" w:color="auto"/>
        <w:bottom w:val="none" w:sz="0" w:space="0" w:color="auto"/>
        <w:right w:val="none" w:sz="0" w:space="0" w:color="auto"/>
      </w:divBdr>
    </w:div>
    <w:div w:id="306319431">
      <w:bodyDiv w:val="1"/>
      <w:marLeft w:val="0"/>
      <w:marRight w:val="0"/>
      <w:marTop w:val="0"/>
      <w:marBottom w:val="0"/>
      <w:divBdr>
        <w:top w:val="none" w:sz="0" w:space="0" w:color="auto"/>
        <w:left w:val="none" w:sz="0" w:space="0" w:color="auto"/>
        <w:bottom w:val="none" w:sz="0" w:space="0" w:color="auto"/>
        <w:right w:val="none" w:sz="0" w:space="0" w:color="auto"/>
      </w:divBdr>
    </w:div>
    <w:div w:id="338318767">
      <w:bodyDiv w:val="1"/>
      <w:marLeft w:val="0"/>
      <w:marRight w:val="0"/>
      <w:marTop w:val="0"/>
      <w:marBottom w:val="0"/>
      <w:divBdr>
        <w:top w:val="none" w:sz="0" w:space="0" w:color="auto"/>
        <w:left w:val="none" w:sz="0" w:space="0" w:color="auto"/>
        <w:bottom w:val="none" w:sz="0" w:space="0" w:color="auto"/>
        <w:right w:val="none" w:sz="0" w:space="0" w:color="auto"/>
      </w:divBdr>
    </w:div>
    <w:div w:id="448625673">
      <w:bodyDiv w:val="1"/>
      <w:marLeft w:val="0"/>
      <w:marRight w:val="0"/>
      <w:marTop w:val="0"/>
      <w:marBottom w:val="0"/>
      <w:divBdr>
        <w:top w:val="none" w:sz="0" w:space="0" w:color="auto"/>
        <w:left w:val="none" w:sz="0" w:space="0" w:color="auto"/>
        <w:bottom w:val="none" w:sz="0" w:space="0" w:color="auto"/>
        <w:right w:val="none" w:sz="0" w:space="0" w:color="auto"/>
      </w:divBdr>
    </w:div>
    <w:div w:id="483932164">
      <w:bodyDiv w:val="1"/>
      <w:marLeft w:val="0"/>
      <w:marRight w:val="0"/>
      <w:marTop w:val="0"/>
      <w:marBottom w:val="0"/>
      <w:divBdr>
        <w:top w:val="none" w:sz="0" w:space="0" w:color="auto"/>
        <w:left w:val="none" w:sz="0" w:space="0" w:color="auto"/>
        <w:bottom w:val="none" w:sz="0" w:space="0" w:color="auto"/>
        <w:right w:val="none" w:sz="0" w:space="0" w:color="auto"/>
      </w:divBdr>
    </w:div>
    <w:div w:id="528177687">
      <w:bodyDiv w:val="1"/>
      <w:marLeft w:val="0"/>
      <w:marRight w:val="0"/>
      <w:marTop w:val="0"/>
      <w:marBottom w:val="0"/>
      <w:divBdr>
        <w:top w:val="none" w:sz="0" w:space="0" w:color="auto"/>
        <w:left w:val="none" w:sz="0" w:space="0" w:color="auto"/>
        <w:bottom w:val="none" w:sz="0" w:space="0" w:color="auto"/>
        <w:right w:val="none" w:sz="0" w:space="0" w:color="auto"/>
      </w:divBdr>
    </w:div>
    <w:div w:id="852760998">
      <w:bodyDiv w:val="1"/>
      <w:marLeft w:val="0"/>
      <w:marRight w:val="0"/>
      <w:marTop w:val="0"/>
      <w:marBottom w:val="0"/>
      <w:divBdr>
        <w:top w:val="none" w:sz="0" w:space="0" w:color="auto"/>
        <w:left w:val="none" w:sz="0" w:space="0" w:color="auto"/>
        <w:bottom w:val="none" w:sz="0" w:space="0" w:color="auto"/>
        <w:right w:val="none" w:sz="0" w:space="0" w:color="auto"/>
      </w:divBdr>
    </w:div>
    <w:div w:id="1206020875">
      <w:bodyDiv w:val="1"/>
      <w:marLeft w:val="0"/>
      <w:marRight w:val="0"/>
      <w:marTop w:val="0"/>
      <w:marBottom w:val="0"/>
      <w:divBdr>
        <w:top w:val="none" w:sz="0" w:space="0" w:color="auto"/>
        <w:left w:val="none" w:sz="0" w:space="0" w:color="auto"/>
        <w:bottom w:val="none" w:sz="0" w:space="0" w:color="auto"/>
        <w:right w:val="none" w:sz="0" w:space="0" w:color="auto"/>
      </w:divBdr>
    </w:div>
    <w:div w:id="1711109757">
      <w:bodyDiv w:val="1"/>
      <w:marLeft w:val="0"/>
      <w:marRight w:val="0"/>
      <w:marTop w:val="0"/>
      <w:marBottom w:val="0"/>
      <w:divBdr>
        <w:top w:val="none" w:sz="0" w:space="0" w:color="auto"/>
        <w:left w:val="none" w:sz="0" w:space="0" w:color="auto"/>
        <w:bottom w:val="none" w:sz="0" w:space="0" w:color="auto"/>
        <w:right w:val="none" w:sz="0" w:space="0" w:color="auto"/>
      </w:divBdr>
    </w:div>
    <w:div w:id="1863593389">
      <w:bodyDiv w:val="1"/>
      <w:marLeft w:val="0"/>
      <w:marRight w:val="0"/>
      <w:marTop w:val="0"/>
      <w:marBottom w:val="0"/>
      <w:divBdr>
        <w:top w:val="none" w:sz="0" w:space="0" w:color="auto"/>
        <w:left w:val="none" w:sz="0" w:space="0" w:color="auto"/>
        <w:bottom w:val="none" w:sz="0" w:space="0" w:color="auto"/>
        <w:right w:val="none" w:sz="0" w:space="0" w:color="auto"/>
      </w:divBdr>
    </w:div>
    <w:div w:id="1967001227">
      <w:bodyDiv w:val="1"/>
      <w:marLeft w:val="0"/>
      <w:marRight w:val="0"/>
      <w:marTop w:val="0"/>
      <w:marBottom w:val="0"/>
      <w:divBdr>
        <w:top w:val="none" w:sz="0" w:space="0" w:color="auto"/>
        <w:left w:val="none" w:sz="0" w:space="0" w:color="auto"/>
        <w:bottom w:val="none" w:sz="0" w:space="0" w:color="auto"/>
        <w:right w:val="none" w:sz="0" w:space="0" w:color="auto"/>
      </w:divBdr>
    </w:div>
    <w:div w:id="1987051527">
      <w:bodyDiv w:val="1"/>
      <w:marLeft w:val="0"/>
      <w:marRight w:val="0"/>
      <w:marTop w:val="0"/>
      <w:marBottom w:val="0"/>
      <w:divBdr>
        <w:top w:val="none" w:sz="0" w:space="0" w:color="auto"/>
        <w:left w:val="none" w:sz="0" w:space="0" w:color="auto"/>
        <w:bottom w:val="none" w:sz="0" w:space="0" w:color="auto"/>
        <w:right w:val="none" w:sz="0" w:space="0" w:color="auto"/>
      </w:divBdr>
    </w:div>
    <w:div w:id="2018657542">
      <w:bodyDiv w:val="1"/>
      <w:marLeft w:val="0"/>
      <w:marRight w:val="0"/>
      <w:marTop w:val="0"/>
      <w:marBottom w:val="0"/>
      <w:divBdr>
        <w:top w:val="none" w:sz="0" w:space="0" w:color="auto"/>
        <w:left w:val="none" w:sz="0" w:space="0" w:color="auto"/>
        <w:bottom w:val="none" w:sz="0" w:space="0" w:color="auto"/>
        <w:right w:val="none" w:sz="0" w:space="0" w:color="auto"/>
      </w:divBdr>
    </w:div>
    <w:div w:id="20277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tamiruyazew2012@gmail.com"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hajhbs.sluchs.edu.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Low DDS</c:v>
                </c:pt>
              </c:strCache>
            </c:strRef>
          </c:tx>
          <c:invertIfNegative val="0"/>
          <c:dLbls>
            <c:dLbl>
              <c:idx val="0"/>
              <c:layout>
                <c:manualLayout>
                  <c:x val="4.6645140118144425E-3"/>
                  <c:y val="1.7127802401803408E-2"/>
                </c:manualLayout>
              </c:layout>
              <c:tx>
                <c:rich>
                  <a:bodyPr/>
                  <a:lstStyle/>
                  <a:p>
                    <a:r>
                      <a:rPr lang="en-US" sz="1000">
                        <a:solidFill>
                          <a:schemeClr val="tx1"/>
                        </a:solidFill>
                      </a:rPr>
                      <a:t>69.5%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B5-4077-B046-A3242E6C3E77}"/>
                </c:ext>
              </c:extLst>
            </c:dLbl>
            <c:dLbl>
              <c:idx val="1"/>
              <c:layout>
                <c:manualLayout>
                  <c:x val="2.3322570059072213E-2"/>
                  <c:y val="2.140975300225427E-2"/>
                </c:manualLayout>
              </c:layout>
              <c:tx>
                <c:rich>
                  <a:bodyPr/>
                  <a:lstStyle/>
                  <a:p>
                    <a:r>
                      <a:rPr lang="en-US" sz="1000">
                        <a:solidFill>
                          <a:schemeClr val="tx1"/>
                        </a:solidFill>
                      </a:rPr>
                      <a:t>80.90%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B5-4077-B046-A3242E6C3E7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Word]Sheet1'!$A$2:$A$3</c:f>
              <c:strCache>
                <c:ptCount val="2"/>
                <c:pt idx="0">
                  <c:v>Households with home gardens</c:v>
                </c:pt>
                <c:pt idx="1">
                  <c:v> Households without home gardens</c:v>
                </c:pt>
              </c:strCache>
            </c:strRef>
          </c:cat>
          <c:val>
            <c:numRef>
              <c:f>'[Chart in Microsoft Word]Sheet1'!$B$2:$B$3</c:f>
              <c:numCache>
                <c:formatCode>0.00%</c:formatCode>
                <c:ptCount val="2"/>
                <c:pt idx="0">
                  <c:v>0.69499999999999995</c:v>
                </c:pt>
                <c:pt idx="1">
                  <c:v>0.80900000000000005</c:v>
                </c:pt>
              </c:numCache>
            </c:numRef>
          </c:val>
          <c:extLst>
            <c:ext xmlns:c16="http://schemas.microsoft.com/office/drawing/2014/chart" uri="{C3380CC4-5D6E-409C-BE32-E72D297353CC}">
              <c16:uniqueId val="{00000002-CEB5-4077-B046-A3242E6C3E77}"/>
            </c:ext>
          </c:extLst>
        </c:ser>
        <c:ser>
          <c:idx val="1"/>
          <c:order val="1"/>
          <c:tx>
            <c:strRef>
              <c:f>'[Chart in Microsoft Word]Sheet1'!$C$1</c:f>
              <c:strCache>
                <c:ptCount val="1"/>
                <c:pt idx="0">
                  <c:v>Good DDS</c:v>
                </c:pt>
              </c:strCache>
            </c:strRef>
          </c:tx>
          <c:invertIfNegative val="0"/>
          <c:cat>
            <c:strRef>
              <c:f>'[Chart in Microsoft Word]Sheet1'!$A$2:$A$3</c:f>
              <c:strCache>
                <c:ptCount val="2"/>
                <c:pt idx="0">
                  <c:v>Households with home gardens</c:v>
                </c:pt>
                <c:pt idx="1">
                  <c:v> Households without home gardens</c:v>
                </c:pt>
              </c:strCache>
            </c:strRef>
          </c:cat>
          <c:val>
            <c:numRef>
              <c:f>'[Chart in Microsoft Word]Sheet1'!$C$2:$C$3</c:f>
              <c:numCache>
                <c:formatCode>0.00%</c:formatCode>
                <c:ptCount val="2"/>
                <c:pt idx="0">
                  <c:v>0.30499999999999999</c:v>
                </c:pt>
                <c:pt idx="1">
                  <c:v>0.191</c:v>
                </c:pt>
              </c:numCache>
            </c:numRef>
          </c:val>
          <c:extLst>
            <c:ext xmlns:c16="http://schemas.microsoft.com/office/drawing/2014/chart" uri="{C3380CC4-5D6E-409C-BE32-E72D297353CC}">
              <c16:uniqueId val="{00000003-CEB5-4077-B046-A3242E6C3E77}"/>
            </c:ext>
          </c:extLst>
        </c:ser>
        <c:dLbls>
          <c:showLegendKey val="0"/>
          <c:showVal val="0"/>
          <c:showCatName val="0"/>
          <c:showSerName val="0"/>
          <c:showPercent val="0"/>
          <c:showBubbleSize val="0"/>
        </c:dLbls>
        <c:gapWidth val="150"/>
        <c:axId val="153860352"/>
        <c:axId val="162045952"/>
      </c:barChart>
      <c:catAx>
        <c:axId val="153860352"/>
        <c:scaling>
          <c:orientation val="minMax"/>
        </c:scaling>
        <c:delete val="0"/>
        <c:axPos val="b"/>
        <c:numFmt formatCode="General" sourceLinked="0"/>
        <c:majorTickMark val="out"/>
        <c:minorTickMark val="none"/>
        <c:tickLblPos val="nextTo"/>
        <c:crossAx val="162045952"/>
        <c:crosses val="autoZero"/>
        <c:auto val="1"/>
        <c:lblAlgn val="ctr"/>
        <c:lblOffset val="100"/>
        <c:noMultiLvlLbl val="0"/>
      </c:catAx>
      <c:valAx>
        <c:axId val="162045952"/>
        <c:scaling>
          <c:orientation val="minMax"/>
        </c:scaling>
        <c:delete val="0"/>
        <c:axPos val="l"/>
        <c:numFmt formatCode="0.00%" sourceLinked="1"/>
        <c:majorTickMark val="out"/>
        <c:minorTickMark val="none"/>
        <c:tickLblPos val="nextTo"/>
        <c:crossAx val="153860352"/>
        <c:crosses val="autoZero"/>
        <c:crossBetween val="between"/>
      </c:valAx>
    </c:plotArea>
    <c:legend>
      <c:legendPos val="r"/>
      <c:layout>
        <c:manualLayout>
          <c:xMode val="edge"/>
          <c:yMode val="edge"/>
          <c:x val="0.80868391451068622"/>
          <c:y val="0.42051286806294763"/>
          <c:w val="0.17732191639310393"/>
          <c:h val="0.15897426387410477"/>
        </c:manualLayout>
      </c:layout>
      <c:overlay val="0"/>
    </c:legend>
    <c:plotVisOnly val="1"/>
    <c:dispBlanksAs val="gap"/>
    <c:showDLblsOverMax val="0"/>
  </c:chart>
  <c:txPr>
    <a:bodyPr/>
    <a:lstStyle/>
    <a:p>
      <a:pPr>
        <a:defRPr>
          <a:latin typeface="AdvPS5962"/>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0764-E2B3-4AE8-B82A-9E4E4981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6117</Words>
  <Characters>34872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Habteyes Tola</cp:lastModifiedBy>
  <cp:revision>6</cp:revision>
  <dcterms:created xsi:type="dcterms:W3CDTF">2026-08-18T13:22:00Z</dcterms:created>
  <dcterms:modified xsi:type="dcterms:W3CDTF">2026-08-25T09:59:00Z</dcterms:modified>
</cp:coreProperties>
</file>